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ENTWURF · FÜR DIE LEHRKRAFT</w:t>
      </w:r>
    </w:p>
    <w:p>
      <w:pPr>
        <w:spacing w:after="120" w:before="0"/>
      </w:pPr>
      <w:r>
        <w:rPr>
          <w:rFonts w:ascii="Cambria" w:cs="Cambria" w:eastAsia="Cambria" w:hAnsi="Cambria"/>
          <w:b/>
          <w:bCs/>
          <w:color w:val="1E2761"/>
          <w:sz w:val="38"/>
          <w:szCs w:val="38"/>
        </w:rPr>
        <w:t xml:space="preserve">Erwartungshorizont zum Test</w:t>
      </w:r>
    </w:p>
    <w:p>
      <w:pPr>
        <w:spacing w:after="8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Gesamtpunktzahl: 30 Punkte plus 1 Zusatzpunkt. Formulierungen dürfen abweichen, entscheidend ist der Inhalt. Folgefehler werden nicht doppelt bestraft. Die Angaben stammen aus den Gruppenpuzzle-Texten (Stände, Säulen) und den Merksätzen der Wiederholungsstunde.</w:t>
      </w:r>
    </w:p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1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Absolutismus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(3 Punkte)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a) Herrschaftsform in Europa im 17. und 18. Jahrhundert, in der ein einzelner Monarch (König oder Fürst) uneingeschränkt (absolut) herrscht.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[2 P]</w:t>
      </w:r>
    </w:p>
    <w:p>
      <w:pPr>
        <w:spacing w:after="30" w:before="0"/>
        <w:ind w:left="60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1 P für „Herrschaftsform / Monarch herrscht allein“, 1 P für „uneingeschränkt / niemand kann ihn stoppen“ (oder 17./18. Jahrhundert).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b) Passt nicht: Ein Parlament könnte den König stoppen, seine Macht wäre begrenzt (Entscheidung und Begründung).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[1 P]</w:t>
      </w:r>
    </w:p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2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Die drei Stände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(7 Punkte)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a) Klerus ca. 150 000 · Adel ca. 500 000 · Dritter Stand (Bauern und Bürger) ca. 20 000 000 (Größenordnung genügt).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[3 (je 1) P]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b) Je 2 richtig eingetragene Buchstaben ergeben 1 Punkt (insgesamt 8 richtige Eintragungen). Falsch eingetragene Buchstaben heben je eine richtige Eintragung auf.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[4 P]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300"/>
        <w:gridCol w:w="2500"/>
        <w:gridCol w:w="2506"/>
      </w:tblGrid>
      <w:tr>
        <w:trPr>
          <w:cantSplit/>
        </w:trPr>
        <w:tc>
          <w:tcPr>
            <w:tcW w:type="dxa" w:w="29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3D4A3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Stand</w:t>
            </w:r>
          </w:p>
        </w:tc>
        <w:tc>
          <w:tcPr>
            <w:tcW w:type="dxa" w:w="2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3D4A3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Anzahl</w:t>
            </w:r>
          </w:p>
        </w:tc>
        <w:tc>
          <w:tcPr>
            <w:tcW w:type="dxa" w:w="2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3D4A3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Vorrechte</w:t>
            </w:r>
          </w:p>
        </w:tc>
        <w:tc>
          <w:tcPr>
            <w:tcW w:type="dxa" w:w="25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3D4A3F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Pflichten</w:t>
            </w:r>
          </w:p>
        </w:tc>
      </w:tr>
      <w:tr>
        <w:trPr>
          <w:cantSplit/>
          <w:trHeight w:val="500" w:hRule="atLeast"/>
        </w:trPr>
        <w:tc>
          <w:tcPr>
            <w:tcW w:type="dxa" w:w="29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Klerus</w:t>
            </w:r>
          </w:p>
        </w:tc>
        <w:tc>
          <w:tcPr>
            <w:tcW w:type="dxa" w:w="2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ca. 150 000</w:t>
            </w:r>
          </w:p>
        </w:tc>
        <w:tc>
          <w:tcPr>
            <w:tcW w:type="dxa" w:w="2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A, B</w:t>
            </w:r>
          </w:p>
        </w:tc>
        <w:tc>
          <w:tcPr>
            <w:tcW w:type="dxa" w:w="25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D</w:t>
            </w:r>
          </w:p>
        </w:tc>
      </w:tr>
      <w:tr>
        <w:trPr>
          <w:cantSplit/>
          <w:trHeight w:val="500" w:hRule="atLeast"/>
        </w:trPr>
        <w:tc>
          <w:tcPr>
            <w:tcW w:type="dxa" w:w="29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Adel</w:t>
            </w:r>
          </w:p>
        </w:tc>
        <w:tc>
          <w:tcPr>
            <w:tcW w:type="dxa" w:w="2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ca. 500 000</w:t>
            </w:r>
          </w:p>
        </w:tc>
        <w:tc>
          <w:tcPr>
            <w:tcW w:type="dxa" w:w="2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A, C</w:t>
            </w:r>
          </w:p>
        </w:tc>
        <w:tc>
          <w:tcPr>
            <w:tcW w:type="dxa" w:w="25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E</w:t>
            </w:r>
          </w:p>
        </w:tc>
      </w:tr>
      <w:tr>
        <w:trPr>
          <w:cantSplit/>
          <w:trHeight w:val="500" w:hRule="atLeast"/>
        </w:trPr>
        <w:tc>
          <w:tcPr>
            <w:tcW w:type="dxa" w:w="29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Dritter Stand (Bauern und Bürger)</w:t>
            </w:r>
          </w:p>
        </w:tc>
        <w:tc>
          <w:tcPr>
            <w:tcW w:type="dxa" w:w="23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ca. 20 000 000</w:t>
            </w:r>
          </w:p>
        </w:tc>
        <w:tc>
          <w:tcPr>
            <w:tcW w:type="dxa" w:w="2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keine (vorgegeben)</w:t>
            </w:r>
          </w:p>
        </w:tc>
        <w:tc>
          <w:tcPr>
            <w:tcW w:type="dxa" w:w="2506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F, G</w:t>
            </w:r>
          </w:p>
        </w:tc>
      </w:tr>
    </w:tbl>
    <w:p>
      <w:pPr>
        <w:spacing w:after="60" w:before="60"/>
      </w:pPr>
      <w:r>
        <w:rPr>
          <w:rFonts w:ascii="Calibri" w:cs="Calibri" w:eastAsia="Calibri" w:hAnsi="Calibri"/>
          <w:color w:val="5B6B8C"/>
          <w:sz w:val="22"/>
          <w:szCs w:val="22"/>
        </w:rPr>
        <w:t xml:space="preserve">Satz H („den König wählen“) passt zu keinem Stand.</w:t>
      </w:r>
    </w:p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3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Mitbestimmung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(2 Punkte)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Der Adel bestimmte das politische Geschehen mit (der Text nennt den Klerus nicht, deshalb nur der Adel erforderlich).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[1 P]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Der Dritte Stand (Bauern und Bürger) war von der politischen Mitbestimmung ausgeschlossen.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[1 P]</w:t>
      </w:r>
    </w:p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4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Die fünf Säulen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(8 Punkte)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a) Verwaltung und Justiz · Adel und Hof (Versailles) · Wirtschaft (Merkantilismus) · Religion (Gottesgnadentum) · Heer (stehendes Heer).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[5 (je 1) P]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b) Je nach gewählter Säule, 3 P: 1 P für ein zutreffendes Merkmal, 2 P für die Erklärung der Machtsicherung (Wirkung begründen). Beispiele: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[3 P]</w:t>
      </w:r>
    </w:p>
    <w:p>
      <w:pPr>
        <w:spacing w:after="40" w:before="0"/>
        <w:ind w:left="60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Verwaltung und Justiz: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Beamte (z. B. Intendanten in den Provinzen) handeln im Namen des Königs; er ist oberster Richter und kann ohne Gerichtsverfahren verhaften lassen („lettres de cachet“). → Kontrolle über das ganze Land.</w:t>
      </w:r>
    </w:p>
    <w:p>
      <w:pPr>
        <w:spacing w:after="40" w:before="0"/>
        <w:ind w:left="60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Adel und Hof von Versailles: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Der Adel behält Vorrechte (Steuerfreiheit, Jagdrecht) und wird mit Festen, Theater und Geschenken am Hof gehalten. → Er leistet keinen Widerstand.</w:t>
      </w:r>
    </w:p>
    <w:p>
      <w:pPr>
        <w:spacing w:after="40" w:before="0"/>
        <w:ind w:left="60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Wirtschaft (Merkantilismus):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Der Staat lenkt die Wirtschaft: Manufakturen, hohe Zölle, Kolonien als Rohstoffquellen und Absatzmärkte; mehr verkaufen als einführen. → Geld für Hof, Beamte und Heer.</w:t>
      </w:r>
    </w:p>
    <w:p>
      <w:pPr>
        <w:spacing w:after="40" w:before="0"/>
        <w:ind w:left="60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Religion (Gottesgnadentum):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Der König ist von Gott ausgewählt; 1685 Ende der religiösen Toleranz: ein König, ein Glaube. → Herrschaft ist von Gott gewollt, Einheit im Land.</w:t>
      </w:r>
    </w:p>
    <w:p>
      <w:pPr>
        <w:spacing w:after="40" w:before="0"/>
        <w:ind w:left="60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Heer (stehendes Heer):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Berufssoldaten statt Söldner, einheitlich bewaffnet, in Kasernen, dem König unterstellt (bis 400 000 Mann). → Macht nach innen und außen durchsetzen.</w:t>
      </w:r>
    </w:p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5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Wahr oder falsch?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(6 Punkte)</w:t>
      </w:r>
    </w:p>
    <w:p>
      <w:pPr>
        <w:spacing w:after="60" w:before="0"/>
      </w:pPr>
      <w:r>
        <w:rPr>
          <w:rFonts w:ascii="Calibri" w:cs="Calibri" w:eastAsia="Calibri" w:hAnsi="Calibri"/>
          <w:color w:val="5B6B8C"/>
          <w:sz w:val="22"/>
          <w:szCs w:val="22"/>
        </w:rPr>
        <w:t xml:space="preserve">Wahre Aussagen: 1 P für das richtige Kreuz. Falsche Aussagen: 1 P für das richtige Kreuz, 1 P für die zutreffende Begründung oder Verbesserung.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1  Ludwig XIV. verzichtete auf Söldner und baute ein stehendes Heer auf.  </w:t>
      </w:r>
      <w:r>
        <w:rPr>
          <w:rFonts w:ascii="Calibri" w:cs="Calibri" w:eastAsia="Calibri" w:hAnsi="Calibri"/>
          <w:b/>
          <w:bCs/>
          <w:color w:val="2E9E6B"/>
          <w:sz w:val="21"/>
          <w:szCs w:val="21"/>
        </w:rPr>
        <w:t xml:space="preserve">→ wahr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[1 P]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2  Der Klerus musste den Kirchenzehnt an den Dritten Stand (Bauern und Bürger) zahlen.  </w:t>
      </w:r>
      <w:r>
        <w:rPr>
          <w:rFonts w:ascii="Calibri" w:cs="Calibri" w:eastAsia="Calibri" w:hAnsi="Calibri"/>
          <w:b/>
          <w:bCs/>
          <w:color w:val="D9534F"/>
          <w:sz w:val="21"/>
          <w:szCs w:val="21"/>
        </w:rPr>
        <w:t xml:space="preserve">→ falsch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[2 P]</w:t>
      </w:r>
    </w:p>
    <w:p>
      <w:pPr>
        <w:spacing w:after="30" w:before="0"/>
        <w:ind w:left="60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Begründung: Umgekehrt: Der Dritte Stand (Bauern und Bürger) musste dem Klerus den Kirchenzehnt (10 % vom Einkommen) zahlen.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3  Der Adel hatte das alleinige Jagdrecht.  </w:t>
      </w:r>
      <w:r>
        <w:rPr>
          <w:rFonts w:ascii="Calibri" w:cs="Calibri" w:eastAsia="Calibri" w:hAnsi="Calibri"/>
          <w:b/>
          <w:bCs/>
          <w:color w:val="2E9E6B"/>
          <w:sz w:val="21"/>
          <w:szCs w:val="21"/>
        </w:rPr>
        <w:t xml:space="preserve">→ wahr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[1 P]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1"/>
          <w:szCs w:val="21"/>
        </w:rPr>
        <w:t xml:space="preserve">4  Ludwig XIV. erlaubte den Protestanten die freie Religionsausübung.  </w:t>
      </w:r>
      <w:r>
        <w:rPr>
          <w:rFonts w:ascii="Calibri" w:cs="Calibri" w:eastAsia="Calibri" w:hAnsi="Calibri"/>
          <w:b/>
          <w:bCs/>
          <w:color w:val="D9534F"/>
          <w:sz w:val="21"/>
          <w:szCs w:val="21"/>
        </w:rPr>
        <w:t xml:space="preserve">→ falsch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[2 P]</w:t>
      </w:r>
    </w:p>
    <w:p>
      <w:pPr>
        <w:spacing w:after="30" w:before="0"/>
        <w:ind w:left="60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Begründung: 1685 beendete er die religiöse Toleranz: Wie nur einen König sollte es auch nur einen Glauben geben (Gottesgnadentum).</w:t>
      </w:r>
    </w:p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D9534F"/>
          <w:sz w:val="28"/>
          <w:szCs w:val="28"/>
        </w:rPr>
        <w:t xml:space="preserve">Aufgabe 6  </w:t>
      </w:r>
      <w:r>
        <w:rPr>
          <w:rFonts w:ascii="Cambria" w:cs="Cambria" w:eastAsia="Cambria" w:hAnsi="Cambria"/>
          <w:b/>
          <w:bCs/>
          <w:color w:val="1E2761"/>
          <w:sz w:val="28"/>
          <w:szCs w:val="28"/>
        </w:rPr>
        <w:t xml:space="preserve">Stellung nehmen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   (4 Punkte)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Klare Position: Die Aussage stimmt nicht, denn der Stand entschied über Rechte, Pflichten und Lebenschancen.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[1 P]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Zwei zutreffende Argumente (je 1 P), zum Beispiel: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[2 P]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Schlüssige Darstellung mit Fachbegriffen (z. B. Vorrechte, Steuern, Mitbestimmung) und „weil“-Verknüpfung.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[1 P]</w:t>
      </w:r>
    </w:p>
    <w:p>
      <w:pPr>
        <w:keepNext/>
        <w:spacing w:after="100" w:before="240"/>
      </w:pPr>
      <w:r>
        <w:rPr>
          <w:rFonts w:ascii="Cambria" w:cs="Cambria" w:eastAsia="Cambria" w:hAnsi="Cambria"/>
          <w:b/>
          <w:bCs/>
          <w:color w:val="C98A1E"/>
          <w:sz w:val="28"/>
          <w:szCs w:val="28"/>
        </w:rPr>
        <w:t xml:space="preserve">Zusatzaufgabe  </w:t>
      </w:r>
      <w:r>
        <w:rPr>
          <w:rFonts w:ascii="Calibri" w:cs="Calibri" w:eastAsia="Calibri" w:hAnsi="Calibri"/>
          <w:color w:val="5B6B8C"/>
          <w:sz w:val="22"/>
          <w:szCs w:val="22"/>
        </w:rPr>
        <w:t xml:space="preserve">(1 Zusatzpunkt)</w:t>
      </w:r>
    </w:p>
    <w:p>
      <w:pPr>
        <w:spacing w:after="50" w:before="0"/>
        <w:ind w:left="24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>• </w:t>
      </w:r>
      <w:r>
        <w:rPr>
          <w:rFonts w:ascii="Calibri" w:cs="Calibri" w:eastAsia="Calibri" w:hAnsi="Calibri"/>
          <w:color w:val="000000"/>
          <w:sz w:val="22"/>
          <w:szCs w:val="22"/>
        </w:rPr>
        <w:t xml:space="preserve">Colbert (Finanzminister Ludwigs XIV., führte den Merkantilismus ein).</w:t>
      </w:r>
      <w:r>
        <w:rPr>
          <w:rFonts w:ascii="Calibri" w:cs="Calibri" w:eastAsia="Calibri" w:hAnsi="Calibri"/>
          <w:b/>
          <w:bCs/>
          <w:color w:val="D9534F"/>
          <w:sz w:val="20"/>
          <w:szCs w:val="20"/>
        </w:rPr>
        <w:t xml:space="preserve">  [1 P]</w:t>
      </w:r>
    </w:p>
    <w:p>
      <w:pPr>
        <w:spacing w:after="100" w:before="40"/>
      </w:pPr>
      <w:r>
        <w:rPr>
          <w:rFonts w:ascii="Calibri" w:cs="Calibri" w:eastAsia="Calibri" w:hAnsi="Calibri"/>
          <w:color w:val="5B6B8C"/>
          <w:sz w:val="22"/>
          <w:szCs w:val="22"/>
        </w:rPr>
        <w:t xml:space="preserve">Der Zusatzpunkt wird zur Gesamtpunktzahl addiert. Maximal erreichbar: 31 Punkte.</w:t>
      </w:r>
    </w:p>
    <w:p>
      <w:pPr>
        <w:keepNext/>
        <w:spacing w:after="80" w:before="200"/>
      </w:pP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Notenschlüssel (30 Punkte)</w:t>
      </w:r>
    </w:p>
    <w:tbl>
      <w:tblPr>
        <w:tblW w:type="dxa" w:w="6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600"/>
        <w:gridCol w:w="2600"/>
      </w:tblGrid>
      <w:tr>
        <w:trPr>
          <w:cantSplit/>
        </w:trPr>
        <w:tc>
          <w:tcPr>
            <w:tcW w:type="dxa" w:w="1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Note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Punkte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1E276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Prozent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1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30 – 28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ab 92 %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27 – 25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ab 81 %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3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24 – 21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ab 67 %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20 – 15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ab 50 %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14 – 9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ab 30 %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shd w:fill="F4F7FD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6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8 – 0</w:t>
            </w:r>
          </w:p>
        </w:tc>
        <w:tc>
          <w:tcPr>
            <w:tcW w:type="dxa" w:w="2600"/>
            <w:tcBorders>
              <w:top w:val="single" w:color="8A96B5" w:sz="6"/>
              <w:left w:val="single" w:color="8A96B5" w:sz="6"/>
              <w:bottom w:val="single" w:color="8A96B5" w:sz="6"/>
              <w:right w:val="single" w:color="8A96B5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22"/>
                <w:szCs w:val="22"/>
              </w:rPr>
              <w:t xml:space="preserve">unter 30 %</w:t>
            </w:r>
          </w:p>
        </w:tc>
      </w:tr>
    </w:tbl>
    <w:p>
      <w:pPr>
        <w:spacing w:after="0" w:before="80"/>
      </w:pPr>
      <w:r>
        <w:rPr>
          <w:rFonts w:ascii="Calibri" w:cs="Calibri" w:eastAsia="Calibri" w:hAnsi="Calibri"/>
          <w:i/>
          <w:iCs/>
          <w:color w:val="5B6B8C"/>
          <w:sz w:val="22"/>
          <w:szCs w:val="22"/>
        </w:rPr>
        <w:t xml:space="preserve">Hinweis: Der Schlüssel ist ein Vorschlag (üblicher Prozentschlüssel) und kann an Ihre schulinterne Vorgabe angepasst werden.</w:t>
      </w:r>
    </w:p>
    <w:sectPr>
      <w:footerReference w:type="default" r:id="rId6"/>
      <w:pgSz w:w="11906" w:h="16838" w:orient="portrait"/>
      <w:pgMar w:top="900" w:right="850" w:bottom="80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Geschichte 8 · Erwartungshorizont Test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2026-10-07T09:15:25.724Z</dcterms:created>
  <dcterms:modified xsi:type="dcterms:W3CDTF">2026-10-07T09:15:25.724Z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