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IN STICHWORTEN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Abschnitt A: im Unterrichtsgespräch, Matrix wächst an der Tafel und im Hefter · ② Abschnitt C: allein, dann an der Tafel zusammentragen · ③ These prüfen · ④ Matrix in Fließtext überführen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300"/>
        <w:gridCol w:w="5000"/>
        <w:gridCol w:w="4738"/>
      </w:tblGrid>
      <w:tr>
        <w:trPr>
          <w:cantSplit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These: </w:t>
            </w:r>
            <w:r>
              <w:rPr>
                <w:rFonts w:ascii="Calibri" w:cs="Calibri" w:eastAsia="Calibri" w:hAnsi="Calibri"/>
                <w:color w:val="F3F1EA"/>
                <w:sz w:val="23"/>
                <w:szCs w:val="23"/>
              </w:rPr>
              <w:t xml:space="preserve">Kafkas „Furcht“ gründet auf Kommunikationsproblemen.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So analysiert man: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1 Verstehen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(Wer? An wen? Worum?)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2 Untersuchen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(Handlung · Modell · Wirkung)  →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3 Schreiben</w:t>
            </w: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 (Behauptung → Beleg → Erklärung)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①  </w:t>
            </w:r>
            <w:r>
              <w:rPr>
                <w:rFonts w:ascii="Calibri" w:cs="Calibri" w:eastAsia="Calibri" w:hAnsi="Calibri"/>
                <w:b/>
                <w:bCs/>
                <w:color w:val="8EC3F0"/>
                <w:sz w:val="23"/>
                <w:szCs w:val="23"/>
              </w:rPr>
              <w:t xml:space="preserve">A  Redeverbot – gemeinsam im Unterrichtsgespräch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„ich verlernte das Reden“ (S. 5 f.) · Matrix in den Hefter übernehmen</w:t>
            </w:r>
          </w:p>
        </w:tc>
      </w:tr>
      <w:tr>
        <w:trPr>
          <w:cantSplit/>
          <w:trHeight w:val="40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Z.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Handlung des Vaters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Modell (Seite / Axiom)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1"/>
                <w:szCs w:val="21"/>
              </w:rPr>
              <w:t xml:space="preserve">Wirkung auf den Sohn (Zitat)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4–5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„kein Wort der Widerrede!“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Appell „Schweig!“ + Beziehung „Ich bestimme“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„stockende, stotternde Art des Sprechens“ (Z. 7)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erhobene Hand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analoge Botschaft verstärkt die Drohung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„schließlich schwieg ich“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6–7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selbst „ausgezeichneter Redner“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starr komplementär: oben / unten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„weder denken noch reden“ (Z. 9)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0"/>
                <w:szCs w:val="20"/>
              </w:rPr>
              <w:t xml:space="preserve">15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deutet Schweigen als „contra“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Interpunktion → Missverständnis (Trotz ↔ Gehorsam)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„verkroch mich vor Dir“ (Z. 12–13)</w:t>
            </w:r>
          </w:p>
        </w:tc>
      </w:tr>
      <w:tr>
        <w:trPr>
          <w:cantSplit/>
          <w:trHeight w:val="38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C9C3A8"/>
                <w:sz w:val="20"/>
                <w:szCs w:val="20"/>
              </w:rPr>
              <w:t xml:space="preserve">②  </w:t>
            </w:r>
            <w:r>
              <w:rPr>
                <w:rFonts w:ascii="Calibri" w:cs="Calibri" w:eastAsia="Calibri" w:hAnsi="Calibri"/>
                <w:b/>
                <w:bCs/>
                <w:color w:val="F29A8E"/>
                <w:sz w:val="23"/>
                <w:szCs w:val="23"/>
              </w:rPr>
              <w:t xml:space="preserve">C  Ironie – allein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   „Ein besonderes Vertrauen hattest Du zur Erziehung durch Ironie …“ (S.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3–4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„Das ist Dir wohl schon zu viel?“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Ironie: Frage (Sache) ≠ Vorwurf (Beziehung)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„schon bestraft, ehe man noch wußte …“ (Z. 6)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„bösem Lachen und bösem Gesicht“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inkongruent: analog widerspricht digital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9–10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 w:val="false"/>
                <w:iCs w:val="false"/>
                <w:color w:val="F3F1EA"/>
                <w:sz w:val="20"/>
                <w:szCs w:val="20"/>
              </w:rPr>
              <w:t xml:space="preserve">spricht „zur Mutter“: „vom Herrn Sohn“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Empfänger übergangen · Abwertung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„nicht einmal des bösen Ansprechens gewürdigt“ (Z. 8)</w:t>
            </w:r>
          </w:p>
        </w:tc>
      </w:tr>
      <w:tr>
        <w:trPr>
          <w:cantSplit/>
          <w:trHeight w:val="520" w:hRule="atLeast"/>
        </w:trPr>
        <w:tc>
          <w:tcPr>
            <w:tcW w:type="dxa" w:w="1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„Deiner Überlegenheit über mich“</w:t>
            </w:r>
          </w:p>
        </w:tc>
        <w:tc>
          <w:tcPr>
            <w:tcW w:type="dxa" w:w="5000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komplementär – Sohn übernimmt das Muster</w:t>
            </w:r>
          </w:p>
        </w:tc>
        <w:tc>
          <w:tcPr>
            <w:tcW w:type="dxa" w:w="4738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fragt nur die Mutter: „Wie geht es dem Vater?“ (Z. 15)</w:t>
            </w:r>
          </w:p>
        </w:tc>
      </w:tr>
      <w:tr>
        <w:trPr>
          <w:cantSplit/>
          <w:trHeight w:val="520" w:hRule="atLeast"/>
        </w:trPr>
        <w:tc>
          <w:tcPr>
            <w:tcW w:type="dxa" w:w="15338"/>
            <w:gridSpan w:val="4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These geprüft: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✓ stützt: Wo Widerspruch unmöglich ist, entsteht Furcht.   + ergänzt: „Stärke … Schwäche“ – „Du verstärktest nur, was war“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→ Der Brief selbst ist Metakommunikation – und erreicht den Vater nie.</w:t>
            </w:r>
          </w:p>
        </w:tc>
      </w:tr>
      <w:tr>
        <w:trPr>
          <w:cantSplit/>
          <w:trHeight w:val="900" w:hRule="atLeast"/>
        </w:trPr>
        <w:tc>
          <w:tcPr>
            <w:tcW w:type="dxa" w:w="153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4A3B" w:color="auto" w:val="clear"/>
            <w:tcMar>
              <w:top w:type="dxa" w:w="110"/>
              <w:left w:type="dxa" w:w="140"/>
              <w:bottom w:type="dxa" w:w="11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3"/>
                <w:szCs w:val="23"/>
              </w:rPr>
              <w:t xml:space="preserve">④ Auftrag: Tafelbild → Fließtext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Analysiere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 die Kommunikation in A und C mithilfe der Modelle und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0"/>
                <w:szCs w:val="20"/>
              </w:rPr>
              <w:t xml:space="preserve">beurteile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, inwieweit die These zutrifft.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Aufbau: 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Einleitung (Autor, Titel, Jahr, Thema)  →  je Zeile der Matrix: Behauptung → Beleg (Zitat + Z.) → Erklärung  →  Schluss: begründetes Urteil zur These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0"/>
                <w:szCs w:val="20"/>
              </w:rPr>
              <w:t xml:space="preserve">Satzbausteine: 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0"/>
                <w:szCs w:val="20"/>
              </w:rPr>
              <w:t xml:space="preserve">Indem der Vater …, sendet er …  ·  Dies zeigt sich in … (Z. …)  ·  Hinzu kommt, dass …  ·  Die Folge ist …  ·  Insgesamt stützt die Stelle die These, weil …</w:t>
            </w:r>
          </w:p>
        </w:tc>
      </w:tr>
    </w:tbl>
    <w:sectPr>
      <w:pgSz w:w="16838" w:h="11906" w:orient="landscape"/>
      <w:pgMar w:top="500" w:right="750" w:bottom="400" w:left="7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2026-10-04T19:26:27.242Z</dcterms:created>
  <dcterms:modified xsi:type="dcterms:W3CDTF">2026-10-04T19:26:27.242Z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