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HANDREICHUNG · GESCHICHTE KLASSE 11 · DOPPELSTUNDE (90 MIN.)</w:t>
      </w:r>
    </w:p>
    <w:p>
      <w:pPr>
        <w:spacing w:after="140"/>
      </w:pPr>
      <w:r>
        <w:rPr>
          <w:rFonts w:ascii="Cambria" w:cs="Cambria" w:eastAsia="Cambria" w:hAnsi="Cambria"/>
          <w:b/>
          <w:bCs/>
          <w:sz w:val="34"/>
          <w:szCs w:val="34"/>
        </w:rPr>
        <w:t xml:space="preserve">Test und Quelleninterpretation: Aristoteles über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70" w:before="0"/>
            </w:pPr>
            <w:r>
              <w:rPr>
                <w:rFonts w:ascii="Calibri" w:cs="Calibri" w:eastAsia="Calibri" w:hAnsi="Calibri"/>
                <w:b/>
                <w:bCs/>
                <w:color w:val="2B2318"/>
                <w:sz w:val="19"/>
                <w:szCs w:val="19"/>
              </w:rPr>
              <w:t xml:space="preserve">Ziel (Ich kann …):</w:t>
            </w:r>
            <w:r>
              <w:rPr>
                <w:rFonts w:ascii="Calibri" w:cs="Calibri" w:eastAsia="Calibri" w:hAnsi="Calibri"/>
                <w:color w:val="2B2318"/>
                <w:sz w:val="19"/>
                <w:szCs w:val="19"/>
              </w:rPr>
              <w:t xml:space="preserve"> Ich kann eine Textquelle nach den Arbeitsschritten analysieren: formale und inhaltliche Aspekte.</w:t>
            </w:r>
          </w:p>
          <w:p>
            <w:pPr>
              <w:spacing w:after="70" w:before="0"/>
            </w:pPr>
            <w:r>
              <w:rPr>
                <w:rFonts w:ascii="Calibri" w:cs="Calibri" w:eastAsia="Calibri" w:hAnsi="Calibri"/>
                <w:b/>
                <w:bCs/>
                <w:color w:val="2B2318"/>
                <w:sz w:val="19"/>
                <w:szCs w:val="19"/>
              </w:rPr>
              <w:t xml:space="preserve">Prüfaufgabe:</w:t>
            </w:r>
            <w:r>
              <w:rPr>
                <w:rFonts w:ascii="Calibri" w:cs="Calibri" w:eastAsia="Calibri" w:hAnsi="Calibri"/>
                <w:color w:val="2B2318"/>
                <w:sz w:val="19"/>
                <w:szCs w:val="19"/>
              </w:rPr>
              <w:t xml:space="preserve"> Abschlussaufgabe – in einem fehlerhaften Klausur-Anfang drei Fehler erkennen und begründen („Ich rate dir …, weil …“). Erfüllt, wenn mindestens zwei Ratschläge formale Analyse (Autor nicht dabei, Angaben fehlen) und inhaltliche Analyse (indirekte Rede, Zeilen, keine Meinung) treffen.</w:t>
            </w:r>
          </w:p>
          <w:p>
            <w:pPr>
              <w:spacing w:after="70" w:before="0"/>
            </w:pPr>
            <w:r>
              <w:rPr>
                <w:rFonts w:ascii="Calibri" w:cs="Calibri" w:eastAsia="Calibri" w:hAnsi="Calibri"/>
                <w:b/>
                <w:bCs/>
                <w:color w:val="2B2318"/>
                <w:sz w:val="19"/>
                <w:szCs w:val="19"/>
              </w:rPr>
              <w:t xml:space="preserve">Mindestziel:</w:t>
            </w:r>
            <w:r>
              <w:rPr>
                <w:rFonts w:ascii="Calibri" w:cs="Calibri" w:eastAsia="Calibri" w:hAnsi="Calibri"/>
                <w:color w:val="2B2318"/>
                <w:sz w:val="19"/>
                <w:szCs w:val="19"/>
              </w:rPr>
              <w:t xml:space="preserve"> Themenfrage kennen, Schritt 2a und 2b (formale und inhaltliche Analyse) am Aristoteles-Text. Mit *: Kontext und Urteil (Schritte 3 und 4).</w:t>
            </w:r>
          </w:p>
          <w:p>
            <w:pPr>
              <w:spacing w:after="0" w:before="0"/>
            </w:pPr>
            <w:r>
              <w:rPr>
                <w:rFonts w:ascii="Calibri" w:cs="Calibri" w:eastAsia="Calibri" w:hAnsi="Calibri"/>
                <w:b/>
                <w:bCs/>
                <w:color w:val="2B2318"/>
                <w:sz w:val="19"/>
                <w:szCs w:val="19"/>
              </w:rPr>
              <w:t xml:space="preserve">Beitrag zur Reihe:</w:t>
            </w:r>
            <w:r>
              <w:rPr>
                <w:rFonts w:ascii="Calibri" w:cs="Calibri" w:eastAsia="Calibri" w:hAnsi="Calibri"/>
                <w:color w:val="2B2318"/>
                <w:sz w:val="19"/>
                <w:szCs w:val="19"/>
              </w:rPr>
              <w:t xml:space="preserve"> Die Doppelstunde ist die Methodenstunde zu Montag (Kleisthenes): kein neuer Stoff, sondern derselbe Inhalt aus einer Quelle. Übersicht und Schreibplan sind die Vorlage für die Interpretationsaufgabe in der Klausur am 25.11.</w:t>
            </w:r>
          </w:p>
        </w:tc>
      </w:tr>
    </w:tbl>
    <w:p>
      <w:pPr>
        <w:spacing w:after="70" w:before="100"/>
      </w:pPr>
      <w:r>
        <w:rPr>
          <w:rFonts w:ascii="Calibri" w:cs="Calibri" w:eastAsia="Calibri" w:hAnsi="Calibri"/>
          <w:b/>
          <w:bCs/>
          <w:color w:val="2B2318"/>
          <w:sz w:val="19"/>
          <w:szCs w:val="19"/>
        </w:rPr>
        <w:t xml:space="preserve">Bezug zur letzten Stunde:</w:t>
      </w:r>
      <w:r>
        <w:rPr>
          <w:rFonts w:ascii="Calibri" w:cs="Calibri" w:eastAsia="Calibri" w:hAnsi="Calibri"/>
          <w:color w:val="2B2318"/>
          <w:sz w:val="19"/>
          <w:szCs w:val="19"/>
        </w:rPr>
        <w:t xml:space="preserve"> Am Montag wurde die Phylenreform als Mystery erarbeitet. Heute wird derselbe Inhalt in einer Quelle wiedererkannt – das entlastet das Lesen, die Klasse kann sich auf die Methode konzentrieren. Die Zeit ist knapp geplant, deshalb sind die Schritte 3 und 4 mit * markiert; der Abschluss bleibt geschützt (Rückmeldung Peisistratos). Die Lösungen werden vom Platz vorgelesen, nicht an der Tafel erarbeitet.</w:t>
      </w:r>
    </w:p>
    <w:p>
      <w:pPr>
        <w:spacing w:after="70" w:before="0"/>
      </w:pPr>
      <w:r>
        <w:rPr>
          <w:rFonts w:ascii="Calibri" w:cs="Calibri" w:eastAsia="Calibri" w:hAnsi="Calibri"/>
          <w:b/>
          <w:bCs/>
          <w:color w:val="5A5044"/>
          <w:sz w:val="19"/>
          <w:szCs w:val="19"/>
        </w:rPr>
        <w:t xml:space="preserve">Grundlage:</w:t>
      </w:r>
      <w:r>
        <w:rPr>
          <w:rFonts w:ascii="Calibri" w:cs="Calibri" w:eastAsia="Calibri" w:hAnsi="Calibri"/>
          <w:color w:val="5A5044"/>
          <w:sz w:val="19"/>
          <w:szCs w:val="19"/>
        </w:rPr>
        <w:t xml:space="preserve"> Arbeitsschritte der Fachschaft („Arbeitsschritte zur Interpretation einer Textquelle“: Themenfrage – Analyse formal/inhaltlich – historischer Kontext – Sach- und Werturteil), Musterlösung M11 und Hinweise zu Teil C. Die Glaubwürdigkeit steht wie in den Arbeitsschritten beim Sachurteil (im Text „Teil C“ beim Werturteil). Für die Schüler: eigene Übersicht für den Hefter mit Satzanfängen aus den Formulierungshilfen.</w:t>
      </w:r>
    </w:p>
    <w:p>
      <w:pPr>
        <w:keepNext/>
        <w:spacing w:after="90" w:before="200"/>
      </w:pPr>
      <w:r>
        <w:rPr>
          <w:rFonts w:ascii="Cambria" w:cs="Cambria" w:eastAsia="Cambria" w:hAnsi="Cambria"/>
          <w:b/>
          <w:bCs/>
          <w:color w:val="AD4426"/>
          <w:sz w:val="25"/>
          <w:szCs w:val="25"/>
        </w:rPr>
        <w:t xml:space="preserve">Druckliste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038"/>
      </w:tblGrid>
      <w:tr>
        <w:trPr>
          <w:tblHeader/>
        </w:trPr>
        <w:tc>
          <w:tcPr>
            <w:tcW w:type="dxa" w:w="5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Material</w:t>
            </w:r>
          </w:p>
        </w:tc>
        <w:tc>
          <w:tcPr>
            <w:tcW w:type="dxa" w:w="2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Format</w:t>
            </w:r>
          </w:p>
        </w:tc>
        <w:tc>
          <w:tcPr>
            <w:tcW w:type="dxa" w:w="2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Menge</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Test_Athen_bis_Peisistratos</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Uebersicht_Quelleninterpretation (für den Hefter)</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Quelle_und_Schreibplan</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Test_Erwartungshorizont_Notenschluessel</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nur Lehrkraft</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Folien_Quellenanalyse (28 Folien, Teil 1 = Folie 1)</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Beamer</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t>
            </w:r>
          </w:p>
        </w:tc>
      </w:tr>
    </w:tbl>
    <w:p>
      <w:pPr>
        <w:keepNext/>
        <w:spacing w:after="90" w:before="200"/>
      </w:pPr>
      <w:r>
        <w:rPr>
          <w:rFonts w:ascii="Cambria" w:cs="Cambria" w:eastAsia="Cambria" w:hAnsi="Cambria"/>
          <w:b/>
          <w:bCs/>
          <w:color w:val="AD4426"/>
          <w:sz w:val="25"/>
          <w:szCs w:val="25"/>
        </w:rPr>
        <w:t xml:space="preserve">Teil 1: Test (45 Min.)</w:t>
      </w:r>
    </w:p>
    <w:p>
      <w:pPr>
        <w:spacing w:after="40" w:before="0"/>
      </w:pPr>
      <w:r>
        <w:rPr>
          <w:rFonts w:ascii="Calibri" w:cs="Calibri" w:eastAsia="Calibri" w:hAnsi="Calibri"/>
          <w:color w:val="2B2318"/>
          <w:sz w:val="19"/>
          <w:szCs w:val="19"/>
        </w:rPr>
        <w:t xml:space="preserve">–  Folie 1 zeigen. Tische auseinander, Test verdeckt austeilen, gemeinsam beginnen. Endzeit an die Tafel, 5 Minuten vor Schluss ansagen.</w:t>
      </w:r>
    </w:p>
    <w:p>
      <w:pPr>
        <w:spacing w:after="40" w:before="0"/>
      </w:pPr>
      <w:r>
        <w:rPr>
          <w:rFonts w:ascii="Calibri" w:cs="Calibri" w:eastAsia="Calibri" w:hAnsi="Calibri"/>
          <w:color w:val="2B2318"/>
          <w:sz w:val="19"/>
          <w:szCs w:val="19"/>
        </w:rPr>
        <w:t xml:space="preserve">–  40 Punkte + 1 Zusatzpunkt; Erwartungshorizont und Notenschlüssel (Notenpunkte) im eigenen Dokument.</w:t>
      </w:r>
    </w:p>
    <w:p>
      <w:pPr>
        <w:spacing w:after="40" w:before="0"/>
      </w:pPr>
      <w:r>
        <w:rPr>
          <w:rFonts w:ascii="Calibri" w:cs="Calibri" w:eastAsia="Calibri" w:hAnsi="Calibri"/>
          <w:color w:val="2B2318"/>
          <w:sz w:val="19"/>
          <w:szCs w:val="19"/>
        </w:rPr>
        <w:t xml:space="preserve">–  Wer früher fertig ist, dreht das Blatt um und bleibt sitzen; nach dem Einsammeln direkt Übersicht und Blatt „Quelle und Schreibplan“ austeilen.</w:t>
      </w:r>
    </w:p>
    <w:p>
      <w:pPr>
        <w:keepNext/>
        <w:spacing w:after="90" w:before="200"/>
      </w:pPr>
      <w:r>
        <w:rPr>
          <w:rFonts w:ascii="Cambria" w:cs="Cambria" w:eastAsia="Cambria" w:hAnsi="Cambria"/>
          <w:b/>
          <w:bCs/>
          <w:color w:val="AD4426"/>
          <w:sz w:val="25"/>
          <w:szCs w:val="25"/>
        </w:rPr>
        <w:t xml:space="preserve">Begriffs-Check Teil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Begriff</w:t>
            </w:r>
          </w:p>
        </w:tc>
        <w:tc>
          <w:tcPr>
            <w:tcW w:type="dxa" w:w="66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Status</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 / Darstellung</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der Sek. I bekannt – in der Wiederholung (Folie 4) aktiviert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Phyle, Demos, Trittys</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Montag gesichert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Themenfrage, Textart, Textsprache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 als Begriffe</w:t>
            </w:r>
            <w:r>
              <w:rPr>
                <w:rFonts w:ascii="Calibri" w:cs="Calibri" w:eastAsia="Calibri" w:hAnsi="Calibri"/>
                <w:color w:val="2B2318"/>
                <w:sz w:val="18"/>
                <w:szCs w:val="18"/>
              </w:rPr>
              <w:t xml:space="preserve"> – Übersicht im Hefter, Folien 7–9</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Sinnabschnitt, indirekte Rede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Deutsch bekannt – Prüffrage auf Folie 15</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Alkmeoniden, Isagoras, Bünde der Adligen</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w:t>
            </w:r>
            <w:r>
              <w:rPr>
                <w:rFonts w:ascii="Calibri" w:cs="Calibri" w:eastAsia="Calibri" w:hAnsi="Calibri"/>
                <w:color w:val="2B2318"/>
                <w:sz w:val="18"/>
                <w:szCs w:val="18"/>
              </w:rPr>
              <w:t xml:space="preserve">, aber nur Randinformation – Worterklärung unter der Quelle</w:t>
            </w:r>
          </w:p>
        </w:tc>
      </w:tr>
    </w:tbl>
    <w:p>
      <w:pPr>
        <w:keepNext/>
        <w:spacing w:after="90" w:before="200"/>
      </w:pPr>
      <w:r>
        <w:rPr>
          <w:rFonts w:ascii="Cambria" w:cs="Cambria" w:eastAsia="Cambria" w:hAnsi="Cambria"/>
          <w:b/>
          <w:bCs/>
          <w:color w:val="AD4426"/>
          <w:sz w:val="25"/>
          <w:szCs w:val="25"/>
        </w:rPr>
        <w:t xml:space="preserve">Verlauf Teil 2 (45 Min.)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2338"/>
        <w:gridCol w:w="1000"/>
        <w:gridCol w:w="7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Min.</w:t>
            </w:r>
          </w:p>
        </w:tc>
        <w:tc>
          <w:tcPr>
            <w:tcW w:type="dxa" w:w="15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Phase</w:t>
            </w:r>
          </w:p>
        </w:tc>
        <w:tc>
          <w:tcPr>
            <w:tcW w:type="dxa" w:w="3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Ablauf und Ansage</w:t>
            </w:r>
          </w:p>
        </w:tc>
        <w:tc>
          <w:tcPr>
            <w:tcW w:type="dxa" w:w="23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Warum?</w:t>
            </w:r>
          </w:p>
        </w:tc>
        <w:tc>
          <w:tcPr>
            <w:tcW w:type="dxa" w:w="1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Form</w:t>
            </w:r>
          </w:p>
        </w:tc>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Folie</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0–2</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Ankommen</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Tests einsammeln, Übersicht und Arbeitsblatt austeilen. Ziel und Ablauf: „Heute lernt ihr, wie man in der Klausur eine Quelle interpretiert – Schritt für Schritt.“</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Transparenz; Bedeutung für die Klausur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Plenum</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2–7</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Richtig oder falsch?</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Vier Aussagen (Quelle/Darstellung, Kleisthenes): allein ins Heft (2), Partnercheck (1), Stichproben bei 4–6 Schülern (1), Lösung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Echte Wiederholung von Montag und Begriff „Quelle“ aktivieren, beides braucht die Interpretation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 PA →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4–5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Warum?</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„In der Klausur heißt die Aufgabe oft: Interpretieren Sie die Quelle.“ Operatoren kurz nennen.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Bedeutung erklären (DI).</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1</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Die vier Arbeitsschritte mit der Übersicht im Hefter, dann die vorgegebene Themenfrage. Warnung: erst untersuchen, dann urteilen. Prüffragen an 4–6 Schüler.</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Überblick vor den Einzelschritten (direkt, neue Kompetenz); Themenfrage gibt der Analyse eine Richtung.</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10–13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2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2a formale Aspekte (Autor, Zeit und Ort, Textart, Thema, Adressat); an Solons Gedicht laut denkend vormachen, Einleitungssatz zeigen. Warnung: Lebensdaten prüfen.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Modellieren an einer anderen Quelle, damit die Lösung für Aristoteles nicht vorweggenommen wird.</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9–11</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13–19</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Formale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Allein: fünf Felder in 2a ausfüllen, Einleitungssatz (4). Zwei lesen vor, Lösung (2).</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Erste Anwendung: leicht, alle schaffen sie (Infokasten liefert alles).</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12–14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19–23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3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2b inhaltliche Aspekte (wesentliche Aussagen, eigene Worte, indirekte Rede, Zeilen, Schlüsselbegriffe, Textsprache). Warnung: keine Meinung. Abschnitt Z. 1–4 laut denkend vormachen.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Neue Teilkompetenz modellieren; das Beispiel steht im Schreibplan (✓).</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15–16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23–36</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Inhaltliche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Paare: Z. 5–8 mit Satzanfang und Stichworten, Z. 9–12 mit Satzanfang, Z. 12–14 ohne Hilfe, dann Begriffe und Textsprache (10). Quelle an der Wand. Je Abschnitt ein Paar vom Platz, Lösung (3).</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Angeleitetes → selbstständiges Üben; Teillösungen nehmen ab (indirekt nach dem Modell).</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17–24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*36–38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Kontext und Urteil*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Nur bei Zeit: Kontext (Sturz der Tyrannis) und Sachurteil zur Glaubwürdigkeit (180 Jahre später) kurz erklären, zwei Prüffragen.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Ausblick auf die nächste Doppelstunde; wird dort vertieft.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38–45</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Abschluss</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Abschlussaufgabe „Ich rate dir …, weil …“ (4), drei Schüler lesen je einen Ratschlag vor, Lösung (2), Rückbezug aufs Ziel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Prüft genau das Ziel: Fehler in formaler und inhaltlicher Analyse erkennen und begründen. </w:t>
            </w:r>
            <w:r>
              <w:rPr>
                <w:rFonts w:ascii="Calibri" w:cs="Calibri" w:eastAsia="Calibri" w:hAnsi="Calibri"/>
                <w:b/>
                <w:bCs/>
                <w:color w:val="2B2318"/>
                <w:sz w:val="16"/>
                <w:szCs w:val="16"/>
              </w:rPr>
              <w:t xml:space="preserve">Nie kürzen.</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26–28</w:t>
            </w:r>
          </w:p>
        </w:tc>
      </w:tr>
    </w:tbl>
    <w:p>
      <w:pPr>
        <w:keepNext/>
        <w:spacing w:after="90" w:before="200"/>
      </w:pPr>
      <w:r>
        <w:rPr>
          <w:rFonts w:ascii="Cambria" w:cs="Cambria" w:eastAsia="Cambria" w:hAnsi="Cambria"/>
          <w:b/>
          <w:bCs/>
          <w:color w:val="AD4426"/>
          <w:sz w:val="25"/>
          <w:szCs w:val="25"/>
        </w:rPr>
        <w:t xml:space="preserve">Erwartungshorizont: Schreibplan</w:t>
      </w:r>
    </w:p>
    <w:p>
      <w:pPr>
        <w:spacing w:after="70" w:before="0"/>
      </w:pPr>
      <w:r>
        <w:rPr>
          <w:rFonts w:ascii="Calibri" w:cs="Calibri" w:eastAsia="Calibri" w:hAnsi="Calibri"/>
          <w:b/>
          <w:bCs/>
          <w:color w:val="2B2318"/>
          <w:sz w:val="19"/>
          <w:szCs w:val="19"/>
        </w:rPr>
        <w:t xml:space="preserve">1 Themenfrage (vorgegeben):</w:t>
      </w:r>
      <w:r>
        <w:rPr>
          <w:rFonts w:ascii="Calibri" w:cs="Calibri" w:eastAsia="Calibri" w:hAnsi="Calibri"/>
          <w:color w:val="2B2318"/>
          <w:sz w:val="19"/>
          <w:szCs w:val="19"/>
        </w:rPr>
        <w:t xml:space="preserve"> Wie veränderte Kleisthenes laut Aristoteles die Ordnung Athens – und mit welchem Ziel?</w:t>
      </w:r>
    </w:p>
    <w:p>
      <w:pPr>
        <w:keepNext/>
        <w:spacing w:after="70" w:before="60"/>
      </w:pPr>
      <w:r>
        <w:rPr>
          <w:rFonts w:ascii="Calibri" w:cs="Calibri" w:eastAsia="Calibri" w:hAnsi="Calibri"/>
          <w:b/>
          <w:bCs/>
          <w:color w:val="2B2318"/>
          <w:sz w:val="19"/>
          <w:szCs w:val="19"/>
        </w:rPr>
        <w:t xml:space="preserve">2a – Formale Aspekte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Autor</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Aristoteles, griechischer Philosoph (384–322 v. Chr.), lebte in Athen, kein Bürger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Zeit und Ort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um 330 v. Chr. in Athen (rund 180 Jahre nach den Reformen)</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Textart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Sachtext: Schrift über die Geschichte der Verfassung Athens</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Thema</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die Reformen des Kleisthenes (508/07 v. Chr.)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Adressat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seine Schüler und gebildete Leser</w:t>
            </w:r>
          </w:p>
        </w:tc>
      </w:tr>
    </w:tbl>
    <w:p>
      <w:pPr>
        <w:spacing w:after="70" w:before="60"/>
      </w:pPr>
      <w:r>
        <w:rPr>
          <w:rFonts w:ascii="Calibri" w:cs="Calibri" w:eastAsia="Calibri" w:hAnsi="Calibri"/>
          <w:i/>
          <w:iCs/>
          <w:color w:val="2B2318"/>
          <w:sz w:val="19"/>
          <w:szCs w:val="19"/>
        </w:rPr>
        <w:t xml:space="preserve">Einleitungssatz: „Bei der Quelle handelt es sich um einen Auszug aus der Schrift „Der Staat der Athener“ des griechischen Philosophen Aristoteles, die um 330 v. Chr. in Athen entstand. Sie richtet sich an seine Schüler und gebildete Leser und behandelt die Reformen des Kleisthenes 508/07 v. Chr.“</w:t>
      </w:r>
    </w:p>
    <w:p>
      <w:pPr>
        <w:keepNext/>
        <w:spacing w:after="70" w:before="100"/>
      </w:pPr>
      <w:r>
        <w:rPr>
          <w:rFonts w:ascii="Calibri" w:cs="Calibri" w:eastAsia="Calibri" w:hAnsi="Calibri"/>
          <w:b/>
          <w:bCs/>
          <w:color w:val="2B2318"/>
          <w:sz w:val="19"/>
          <w:szCs w:val="19"/>
        </w:rPr>
        <w:t xml:space="preserve">2b – Inhaltliche Aspekte</w:t>
      </w:r>
      <w:r>
        <w:rPr>
          <w:rFonts w:ascii="Calibri" w:cs="Calibri" w:eastAsia="Calibri" w:hAnsi="Calibri"/>
          <w:color w:val="2B2318"/>
          <w:sz w:val="19"/>
          <w:szCs w:val="19"/>
        </w:rPr>
        <w:t xml:space="preserve"> (andere Formulierungen richtig, wenn Kern, indirekte Rede und Zeilen 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Zeilen</w:t>
            </w:r>
          </w:p>
        </w:tc>
        <w:tc>
          <w:tcPr>
            <w:tcW w:type="dxa" w:w="84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Lösung</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Zunächst berichtet Aristoteles, nach dem Sturz der Tyrannen hätten Isagoras und Kleisthenes um die Macht gekämpft (Z. 1). Kleisthenes habe das Volk für sich gewonnen, indem er ihm die Macht im Staat übergeben habe (Z. 2–4).</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5–8</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Anschließend erklärt er, Kleisthenes habe die Bürger in zehn statt vier Phylen eingeteilt, um sie zu vermischen und mehr Menschen an der Politik zu beteiligen (Z. 5–7). Außerdem habe er einen Rat der 500 mit fünfzig Männern aus jeder Phyle geschaffen (Z. 7f.).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9–12</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Außerdem habe Kleisthenes das Land in dreißig Trittyen geteilt, je zehn um die Stadt, an der Küste und im Binnenland (Z. 9f.). Jeder Phyle seien durch das Los drei Trittyen zugeteilt worden, damit sie an allen Gebieten Anteil habe (Z. 11f.).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12–14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Schließlich habe er bestimmt, dass man sich nach seinem Demos und nicht mehr nach dem Vater benennt, damit man die neuen Bürger nicht erkennen konnte (Z. 12–14).</w:t>
            </w:r>
          </w:p>
        </w:tc>
      </w:tr>
    </w:tbl>
    <w:p>
      <w:pPr>
        <w:spacing w:after="70" w:before="8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Phylen – vermischen – Rat der 500 – Trittyen – Demos · </w:t>
      </w: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sachlich und erklärend: Aristoteles zählt die Maßnahmen geordnet auf und nennt mit „damit …“ jeweils ihren Zweck (Z. 7, 11, 13).</w:t>
      </w:r>
    </w:p>
    <w:p>
      <w:pPr>
        <w:spacing w:after="70" w:before="100"/>
      </w:pPr>
      <w:r>
        <w:rPr>
          <w:rFonts w:ascii="Calibri" w:cs="Calibri" w:eastAsia="Calibri" w:hAnsi="Calibri"/>
          <w:b/>
          <w:bCs/>
          <w:color w:val="2B2318"/>
          <w:sz w:val="19"/>
          <w:szCs w:val="19"/>
        </w:rPr>
        <w:t xml:space="preserve">3 – Historischer Kontext (nur bei Zeit):</w:t>
      </w:r>
      <w:r>
        <w:rPr>
          <w:rFonts w:ascii="Calibri" w:cs="Calibri" w:eastAsia="Calibri" w:hAnsi="Calibri"/>
          <w:color w:val="2B2318"/>
          <w:sz w:val="19"/>
          <w:szCs w:val="19"/>
        </w:rPr>
        <w:t xml:space="preserve"> Nach dem Sturz des Tyrannen Hippias (510) kämpften die Adelsfamilien wieder um die Macht. Kleisthenes setzte seine Reform 508/07 mit Hilfe des Volkes durch. Laut Aristoteles wollte er die Bürger „vermischen“, damit mehr Menschen am Staat teilhatten (Z. 6f.) – die Bindung an die Adelsfamilien sollte gebrochen werden (Montag).</w:t>
      </w:r>
    </w:p>
    <w:p>
      <w:pPr>
        <w:spacing w:after="70" w:before="0"/>
      </w:pPr>
      <w:r>
        <w:rPr>
          <w:rFonts w:ascii="Calibri" w:cs="Calibri" w:eastAsia="Calibri" w:hAnsi="Calibri"/>
          <w:b/>
          <w:bCs/>
          <w:color w:val="2B2318"/>
          <w:sz w:val="19"/>
          <w:szCs w:val="19"/>
        </w:rPr>
        <w:t xml:space="preserve">4a – Sachurteil (nur bei Zeit):</w:t>
      </w:r>
      <w:r>
        <w:rPr>
          <w:rFonts w:ascii="Calibri" w:cs="Calibri" w:eastAsia="Calibri" w:hAnsi="Calibri"/>
          <w:color w:val="2B2318"/>
          <w:sz w:val="19"/>
          <w:szCs w:val="19"/>
        </w:rPr>
        <w:t xml:space="preserve"> Aristoteles war kein Augenzeuge; er schrieb rund 180 Jahre später und stützte sich auf ältere Schriften. Er nennt Absichten („damit …“), die er selbst so deutet. Die Angaben zu Phylen, Rat und Trittyen passen aber zu anderen Überlieferungen – als Quelle für die Ordnung gut brauchbar, für die Absichten des Kleisthenes nur eingeschränkt.</w:t>
      </w:r>
    </w:p>
    <w:p>
      <w:pPr>
        <w:spacing w:after="70" w:before="0"/>
      </w:pPr>
      <w:r>
        <w:rPr>
          <w:rFonts w:ascii="Calibri" w:cs="Calibri" w:eastAsia="Calibri" w:hAnsi="Calibri"/>
          <w:b/>
          <w:bCs/>
          <w:color w:val="2B2318"/>
          <w:sz w:val="19"/>
          <w:szCs w:val="19"/>
        </w:rPr>
        <w:t xml:space="preserve">4b – Werturteil (nächste Doppelstunde):</w:t>
      </w:r>
      <w:r>
        <w:rPr>
          <w:rFonts w:ascii="Calibri" w:cs="Calibri" w:eastAsia="Calibri" w:hAnsi="Calibri"/>
          <w:color w:val="2B2318"/>
          <w:sz w:val="19"/>
          <w:szCs w:val="19"/>
        </w:rPr>
        <w:t xml:space="preserve"> z. B. „Gemessen an der Gleichheit aller Menschen halte ich die Reform für einen großen, aber unvollständigen Schritt, weil sie viel mehr Bürger beteiligte, Frauen, Sklaven und Fremde aber ausschloss.“ Bezug zur Themenfrage: Aristoteles stellt die Reform als gezielte Beteiligung des Volkes dar.</w:t>
      </w:r>
    </w:p>
    <w:p>
      <w:pPr>
        <w:keepNext/>
        <w:spacing w:after="90" w:before="200"/>
      </w:pPr>
      <w:r>
        <w:rPr>
          <w:rFonts w:ascii="Cambria" w:cs="Cambria" w:eastAsia="Cambria" w:hAnsi="Cambria"/>
          <w:b/>
          <w:bCs/>
          <w:color w:val="AD4426"/>
          <w:sz w:val="25"/>
          <w:szCs w:val="25"/>
        </w:rPr>
        <w:t xml:space="preserve">Stolpersteine (Warnung vor dem Fehler) und gestufte Hilfsimpulse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Stolperstein</w:t>
            </w:r>
          </w:p>
        </w:tc>
        <w:tc>
          <w:tcPr>
            <w:tcW w:type="dxa" w:w="7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Was du sagst</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„Aristoteles war Augenzeuge.“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„Wann lebte er – und wann war die Reform? Rechne nach.“</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Zeit = 508/07</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„Das ist die Zeit der Reform. Wann wurde der Text geschrieben?“</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Thema: „Aristoteles“ oder „Athen“</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„Worüber schreibt er in diesem Ausschnitt genau?“</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Abschreiben statt eigene Worte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„Deck die Quelle ab und sag es mir in einem Satz.“</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Indikativ („Kleisthenes teilte …“)</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„Wer sagt das? Mach deutlich, dass es Aristoteles sagt: … habe …“</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Meinung im Inhalt („klug“, „gut“)</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„Steht das in der Quelle? Heb es dir für Schritt 4 auf.“</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 12–14 unklar (Neubürger)</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„Kleisthenes nahm neue Bürger auf, z. B. Zugezogene. Woran hätte man sie bisher erkannt?“ (am Vatersnamen)</w:t>
            </w:r>
          </w:p>
        </w:tc>
      </w:tr>
    </w:tbl>
    <w:p>
      <w:pPr>
        <w:spacing w:after="70" w:before="80"/>
      </w:pPr>
      <w:r>
        <w:rPr>
          <w:rFonts w:ascii="Calibri" w:cs="Calibri" w:eastAsia="Calibri" w:hAnsi="Calibri"/>
          <w:b/>
          <w:bCs/>
          <w:color w:val="2B2318"/>
          <w:sz w:val="19"/>
          <w:szCs w:val="19"/>
        </w:rPr>
        <w:t xml:space="preserve">Gestufte Hilfen beim Inhalt</w:t>
      </w:r>
      <w:r>
        <w:rPr>
          <w:rFonts w:ascii="Calibri" w:cs="Calibri" w:eastAsia="Calibri" w:hAnsi="Calibri"/>
          <w:color w:val="2B2318"/>
          <w:sz w:val="19"/>
          <w:szCs w:val="19"/>
        </w:rPr>
        <w:t xml:space="preserve"> (mündlich, der Reihe nach): 1. „Unterstreiche den wichtigsten Satz des Abschnitts.“ – 2. „Wer tut was? Achte auf ‚damit‘ – das ist der Zweck.“ – 3. Stichworte aus der Lösung nennen (Lösung selbst bleibt am Pult).</w:t>
      </w:r>
    </w:p>
    <w:p>
      <w:pPr>
        <w:keepNext/>
        <w:spacing w:after="90" w:before="200"/>
      </w:pPr>
      <w:r>
        <w:rPr>
          <w:rFonts w:ascii="Cambria" w:cs="Cambria" w:eastAsia="Cambria" w:hAnsi="Cambria"/>
          <w:b/>
          <w:bCs/>
          <w:color w:val="AD4426"/>
          <w:sz w:val="25"/>
          <w:szCs w:val="25"/>
        </w:rPr>
        <w:t xml:space="preserve">Abschlussaufgabe: mögliche Ratschläge</w:t>
      </w:r>
    </w:p>
    <w:p>
      <w:pPr>
        <w:spacing w:after="40" w:before="0"/>
      </w:pPr>
      <w:r>
        <w:rPr>
          <w:rFonts w:ascii="Calibri" w:cs="Calibri" w:eastAsia="Calibri" w:hAnsi="Calibri"/>
          <w:color w:val="2B2318"/>
          <w:sz w:val="19"/>
          <w:szCs w:val="19"/>
        </w:rPr>
        <w:t xml:space="preserve">–  Ich rate dir, die Lebensdaten zu prüfen, weil Aristoteles rund 180 Jahre später schrieb und nicht dabei war.</w:t>
      </w:r>
    </w:p>
    <w:p>
      <w:pPr>
        <w:spacing w:after="40" w:before="0"/>
      </w:pPr>
      <w:r>
        <w:rPr>
          <w:rFonts w:ascii="Calibri" w:cs="Calibri" w:eastAsia="Calibri" w:hAnsi="Calibri"/>
          <w:color w:val="2B2318"/>
          <w:sz w:val="19"/>
          <w:szCs w:val="19"/>
        </w:rPr>
        <w:t xml:space="preserve">–  Ich rate dir, Textart, Zeit und Ort sowie Adressat zu nennen, weil die Einleitung sonst unvollständig ist.</w:t>
      </w:r>
    </w:p>
    <w:p>
      <w:pPr>
        <w:spacing w:after="40" w:before="0"/>
      </w:pPr>
      <w:r>
        <w:rPr>
          <w:rFonts w:ascii="Calibri" w:cs="Calibri" w:eastAsia="Calibri" w:hAnsi="Calibri"/>
          <w:color w:val="2B2318"/>
          <w:sz w:val="19"/>
          <w:szCs w:val="19"/>
        </w:rPr>
        <w:t xml:space="preserve">–  Ich rate dir, indirekte Rede zu nutzen, weil du wiedergibst, was Aristoteles sagt.</w:t>
      </w:r>
    </w:p>
    <w:p>
      <w:pPr>
        <w:spacing w:after="40" w:before="0"/>
      </w:pPr>
      <w:r>
        <w:rPr>
          <w:rFonts w:ascii="Calibri" w:cs="Calibri" w:eastAsia="Calibri" w:hAnsi="Calibri"/>
          <w:color w:val="2B2318"/>
          <w:sz w:val="19"/>
          <w:szCs w:val="19"/>
        </w:rPr>
        <w:t xml:space="preserve">–  Ich rate dir, Zeilen anzugeben, weil man deine Aussagen sonst nicht überprüfen kann.</w:t>
      </w:r>
    </w:p>
    <w:p>
      <w:pPr>
        <w:spacing w:after="40" w:before="0"/>
      </w:pPr>
      <w:r>
        <w:rPr>
          <w:rFonts w:ascii="Calibri" w:cs="Calibri" w:eastAsia="Calibri" w:hAnsi="Calibri"/>
          <w:color w:val="2B2318"/>
          <w:sz w:val="19"/>
          <w:szCs w:val="19"/>
        </w:rPr>
        <w:t xml:space="preserve">–  Ich rate dir, „sehr gute Idee“ wegzulassen, weil die Meinung erst in Schritt 4 gehört.</w:t>
      </w:r>
    </w:p>
    <w:p>
      <w:pPr>
        <w:spacing w:after="40" w:before="0"/>
      </w:pPr>
      <w:r>
        <w:rPr>
          <w:rFonts w:ascii="Calibri" w:cs="Calibri" w:eastAsia="Calibri" w:hAnsi="Calibri"/>
          <w:color w:val="2B2318"/>
          <w:sz w:val="19"/>
          <w:szCs w:val="19"/>
        </w:rPr>
        <w:t xml:space="preserve">–  Ich rate dir, nichts hinzuzufügen, weil „die Demokratie eingeführt“ so nicht in der Quelle steht.</w:t>
      </w:r>
    </w:p>
    <w:p>
      <w:pPr>
        <w:keepNext/>
        <w:spacing w:after="90" w:before="200"/>
      </w:pPr>
      <w:r>
        <w:rPr>
          <w:rFonts w:ascii="Cambria" w:cs="Cambria" w:eastAsia="Cambria" w:hAnsi="Cambria"/>
          <w:b/>
          <w:bCs/>
          <w:color w:val="AD4426"/>
          <w:sz w:val="25"/>
          <w:szCs w:val="25"/>
        </w:rPr>
        <w:t xml:space="preserve">Sachinformation zur Quelle</w:t>
      </w:r>
    </w:p>
    <w:p>
      <w:pPr>
        <w:spacing w:after="70" w:before="0"/>
      </w:pPr>
      <w:r>
        <w:rPr>
          <w:rFonts w:ascii="Calibri" w:cs="Calibri" w:eastAsia="Calibri" w:hAnsi="Calibri"/>
          <w:color w:val="2B2318"/>
          <w:sz w:val="19"/>
          <w:szCs w:val="19"/>
        </w:rPr>
        <w:t xml:space="preserve">Die „Athenaion politeia“ wurde um 330 v. Chr. im Umfeld des Aristoteles verfasst (ob von ihm selbst, ist umstritten). Der Text auf dem Blatt ist eine eigene, stark vereinfachte und gekürzte Übertragung von Kap. 20,1 und 21,1–4. Isagoras war 508/07 Archon und wurde von Sparta unterstützt; Kleisthenes gehörte zu den Alkmeoniden. Die „Bünde der Adligen“ sind die Hetairien (Adelsclubs). Mit den „neuen Bürgern“ (Z. 13f.) sind Zugezogene und andere gemeint, die Kleisthenes ins Bürgerrecht aufnahm; der Demenname (z. B. „aus Paiania“) verdeckte ihre Herkunft.</w:t>
      </w:r>
    </w:p>
    <w:sectPr>
      <w:headerReference w:type="default" r:id="rId6"/>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Test und Quellenanalyse – Handreichung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2026-10-29T16:06:05.372Z</dcterms:created>
  <dcterms:modified xsi:type="dcterms:W3CDTF">2026-10-29T16:06:05.372Z</dcterms:modified>
</cp:coreProperties>
</file>

<file path=docProps/custom.xml><?xml version="1.0" encoding="utf-8"?>
<Properties xmlns="http://schemas.openxmlformats.org/officeDocument/2006/custom-properties" xmlns:vt="http://schemas.openxmlformats.org/officeDocument/2006/docPropsVTypes"/>
</file>