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FÜR DIE LEHRKRAFT · LEISTUNGSKONTROLLE VERBEN UND ZEITFORMEN · 14.10. · GRUPPE A UND B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Notenschlüssel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Höchstpunktzahl: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25 Punkte. Zusatzpunkte (Futur II, höchstens 2) werden addiert, die Summe wird bei 25 gekappt. Bewertet wird in halben Punkten.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600"/>
      </w:tblGrid>
      <w:tr>
        <w:trPr>
          <w:cantSplit/>
          <w:trHeight w:val="4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3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2E9E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3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25 – 23,5</w:t>
            </w:r>
          </w:p>
        </w:tc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ab 94 %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5AAE6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3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23 – 20</w:t>
            </w:r>
          </w:p>
        </w:tc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ab 80 %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9DB8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3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19,5 – 16,5</w:t>
            </w:r>
          </w:p>
        </w:tc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ab 66 %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8A3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3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16 – 12,5</w:t>
            </w:r>
          </w:p>
        </w:tc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ab 50 %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07B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3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12 – 6</w:t>
            </w:r>
          </w:p>
        </w:tc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ab 24 %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953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3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5,5 – 0</w:t>
            </w:r>
          </w:p>
        </w:tc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2"/>
                <w:szCs w:val="22"/>
              </w:rPr>
              <w:t xml:space="preserve">unter 24 %</w:t>
            </w:r>
          </w:p>
        </w:tc>
      </w:tr>
    </w:tbl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Nachschlagetabelle (halbe Punkte)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800"/>
      </w:tblGrid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300"/>
            </w:tblGrid>
            <w:tr>
              <w:trPr>
                <w:cantSplit/>
                <w:trHeight w:val="340" w:hRule="atLeas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Punkte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Note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E9E6B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24,5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E9E6B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E9E6B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23,5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E9E6B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AAE6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22,5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AAE6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AAE6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21,5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AAE6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AAE6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20,5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AAE6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AAE62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19,5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9DB84A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9DB84A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18,5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9DB84A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9DB84A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17,5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9DB84A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9DB84A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300"/>
            </w:tblGrid>
            <w:tr>
              <w:trPr>
                <w:cantSplit/>
                <w:trHeight w:val="340" w:hRule="atLeas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Punkte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Note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16,5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9DB84A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8A33D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15,5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8A33D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8A33D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14,5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8A33D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8A33D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13,5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8A33D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8A33D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12,5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8A33D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11,5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10,5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9,5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8,5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300"/>
            </w:tblGrid>
            <w:tr>
              <w:trPr>
                <w:cantSplit/>
                <w:trHeight w:val="340" w:hRule="atLeas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Punkte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Note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7,5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6,5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E07B45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5,5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4,5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3,5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0,5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300" w:hRule="exact"/>
              </w:trPr>
              <w:tc>
                <w:tcPr>
                  <w:tcW w:type="dxa" w:w="15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D9534F" w:color="auto" w:val="clear"/>
                  <w:tcMar>
                    <w:top w:type="dxa" w:w="20"/>
                    <w:left w:type="dxa" w:w="100"/>
                    <w:bottom w:type="dxa" w:w="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</w:tr>
          </w:tbl>
          <w:p/>
        </w:tc>
      </w:tr>
    </w:tbl>
    <w:p>
      <w:pPr>
        <w:spacing w:after="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Hinweis: </w:t>
      </w:r>
      <w:r>
        <w:rPr>
          <w:rFonts w:ascii="Calibri" w:cs="Calibri" w:eastAsia="Calibri" w:hAnsi="Calibri"/>
          <w:color w:val="5B6B8C"/>
          <w:sz w:val="21"/>
          <w:szCs w:val="21"/>
        </w:rPr>
        <w:t xml:space="preserve">Vorschlag – bei Bedarf an den Schlüssel der Fachkonferenz anpassen. Punkteverteilung je Aufgabe: siehe Erwartungshorizont (A1: 6 · A2: 6 · A3: 8 · A4: 5 · Zusatz: 2).</w:t>
      </w:r>
    </w:p>
    <w:sectPr>
      <w:pgSz w:w="11906" w:h="16838" w:orient="portrait"/>
      <w:pgMar w:top="8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2026-10-14T09:51:54.350Z</dcterms:created>
  <dcterms:modified xsi:type="dcterms:W3CDTF">2026-10-14T09:51:54.363Z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