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FÜR DIE LEHRKRAFT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Kommunikationsstörungen lösen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Doppelstunde (90 Min.) · Klasse 11 · Vorwissen: Kommunikationsmodelle (Schulz von Thun, Watzlawick) und Kommunikationsstörungen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Lernziele  </w:t>
            </w: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Die Schülerinnen und Schüler …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 benennen in einem Dialog den genauen Zeitpunkt, an dem die Kommunikation kippt, und begründen ihn mit Fachbegriffen,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 kennen vier Strategien zur Konfliktlösung (Ich-Botschaft, Empathie, Wunsch/Bitte, Metakommunikation) und wenden sie an,</w:t>
            </w:r>
          </w:p>
          <w:p>
            <w:pPr>
              <w:spacing w:after="4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•  erfinden eigene Konfliktszenen, spielen sie und werten die Szenen der anderen kriteriengeleitet aus.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1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Druckliste · am Vortag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206"/>
      </w:tblGrid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Arbeitsblatt (5 Seiten)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1× pro Person</w:t>
            </w:r>
          </w:p>
        </w:tc>
      </w:tr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Kartenset S. 1–2: Expertenkarten A–D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Satz pro Gruppe (ausschneiden)</w:t>
            </w:r>
          </w:p>
        </w:tc>
      </w:tr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Kartenset S. 3: Rollen- und Tippkarten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Rollen: 1 Satz pro Gruppe · Tipps: 2–3 Sätze fürs Pult</w:t>
            </w:r>
          </w:p>
        </w:tc>
      </w:tr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Kartenset S. 4: Notfall-Ideen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Satz, in einen Umschlag – bleibt bei Ihnen</w:t>
            </w:r>
          </w:p>
        </w:tc>
      </w:tr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Kartenset S. 5: Moderationskarte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2× (Moderation + Sie)</w:t>
            </w:r>
          </w:p>
        </w:tc>
      </w:tr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Kartenset S. 6: Exit-Tickets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1 pro Person, in die Gruppenumschläge</w:t>
            </w:r>
          </w:p>
        </w:tc>
      </w:tr>
      <w:tr>
        <w:trPr>
          <w:cantSplit/>
          <w:trHeight w:val="340" w:hRule="atLeast"/>
        </w:trPr>
        <w:tc>
          <w:tcPr>
            <w:tcW w:type="dxa" w:w="50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Lösungsblätter (S. 3–4 dieses Dokuments)</w:t>
            </w:r>
          </w:p>
        </w:tc>
        <w:tc>
          <w:tcPr>
            <w:tcW w:type="dxa" w:w="52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je 2–3× fürs Pult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2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Vorbereitung · vor der Stunde bzw. in der Pause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7306"/>
      </w:tblGrid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Gruppen festlegen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4er-Gruppen nach Sitzplan, Tische nummerieren (1, 2, 3 …). Die Klasse sitzt von Anfang an in diesen Gruppen – Partnerarbeit = Sitznachbar. So gibt es keinen Umbau.</w:t>
            </w:r>
          </w:p>
        </w:tc>
      </w:tr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Umschlag pro Gruppentisch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4 Rollenkarten, Expertenkarten A–D, 4 Exit-Tickets. Auf den Umschlag die Tischnummer schreiben.</w:t>
            </w:r>
          </w:p>
        </w:tc>
      </w:tr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Auf jeden Platz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das Arbeitsblatt, Seite 1 (M1) oben.</w:t>
            </w:r>
          </w:p>
        </w:tc>
      </w:tr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Aufs Pult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Tippkarten, Lösungsblatt Kipppunkte, Musterlösung Version B – in zwei beschrifteten Stapeln.</w:t>
            </w:r>
          </w:p>
        </w:tc>
      </w:tr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Bei Ihnen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Umschlag „Notfall-Ideen“, 2 Moderationskarten, Liste für Ihre Notizen (gelungene Formulierungen).</w:t>
            </w:r>
          </w:p>
        </w:tc>
      </w:tr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Technik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Präsentation auf Folie 1, Timer griffbereit (Handy unter Dokumentenkamera oder Online-Timer).</w:t>
            </w:r>
          </w:p>
        </w:tc>
      </w:tr>
      <w:tr>
        <w:trPr>
          <w:cantSplit/>
          <w:trHeight w:val="340" w:hRule="atLeast"/>
        </w:trPr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☐  </w:t>
            </w: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Tafel</w:t>
            </w:r>
          </w:p>
        </w:tc>
        <w:tc>
          <w:tcPr>
            <w:tcW w:type="dxa" w:w="73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Rechts schon anschreiben: Reihenfolge der Auftritte 1 → 2 → … und „Paten = die Gruppe nach euch“.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3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Grundregeln für Ihre Sprechzeit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Sie teilen während der Stunde nichts aus.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Alles liegt vorher bereit. Ausnahmen: Notfall-Idee und Moderationskarte.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Folie wechseln, Timer starten, nicht erklären.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Die Aufträge stehen auf Folie und Arbeitsblatt.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Fragen kommen nur von der Material-Person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– und erst, nachdem Gruppe und Tippkarte nicht geholfen haben.</w:t>
      </w:r>
    </w:p>
    <w:p>
      <w:pPr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22"/>
          <w:szCs w:val="22"/>
        </w:rPr>
        <w:t xml:space="preserve">•  </w:t>
      </w: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Beim Spielen sitzen Sie im Publikum.</w:t>
      </w:r>
      <w:r>
        <w:rPr>
          <w:rFonts w:ascii="Calibri" w:cs="Calibri" w:eastAsia="Calibri" w:hAnsi="Calibri"/>
          <w:color w:val="000000"/>
          <w:sz w:val="19"/>
          <w:szCs w:val="19"/>
        </w:rPr>
        <w:t xml:space="preserve"> Eine Schülerin oder ein Schüler moderiert. Sie notieren gelungene Formulierungen.</w:t>
      </w:r>
    </w:p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FÜR DIE LEHRKRAFT · REGIEPLAN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Wann passiert was?</w:t>
      </w:r>
    </w:p>
    <w:p>
      <w:pPr>
        <w:spacing w:after="10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Minutengenauer Ablauf. Die Folien-Nummern beziehen sich auf die Präsentation.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50"/>
        <w:gridCol w:w="1900"/>
        <w:gridCol w:w="3150"/>
        <w:gridCol w:w="4106"/>
      </w:tblGrid>
      <w:tr>
        <w:trPr>
          <w:cantSplit/>
          <w:trHeight w:val="44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Zeit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Phase · Folie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die Klasse tut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Sie tun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0'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Ankommen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1 → 2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setzt sich an den Gruppentisch, findet M1 auf dem Platz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Einziger Satz der Einführung: „Heute steht alles auf den Folien – schaut einfach dorthin.“ Folie 2 zeigen, Timer 5 Min. starten.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0–5'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Stummer Einstieg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2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liest M1 still, markiert Kipppunkte mit ↯ (3'), vergleicht mit dem Sitznachbarn (2')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Nichts sagen. Nach 3 Min. Handzeichen/Gong für den Partnervergleich.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5–13'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Kipppunkte benennen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3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Aufgabe 2 zu zweit, danach Selbstkontrolle mit dem Lösungsblatt vom Pult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3, Timer 8 Min. Herumgehen und zuhören: Wer findet Zeile 3? Keine Plenumsbesprechung.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13–30'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Gruppenpuzzle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4 (ab ca. 24': Folie 5)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öffnet den Umschlag, verteilt Rollen und Expertenkarten; lesen 4', erklären 7', Dialog umschreiben 6'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4, Timer 17 Min. Nach 1 Min. prüfen: Haben alle Gruppen Rollen verteilt? Ab ca. 24' Folie 5 (Werkzeugkasten) als Stütze stehen lassen.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30–47'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Eigene Szene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6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erfindet eine eigene Situation, füllt den Planungsbogen aus, probt in den letzten 5'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6, Timer 17 Min. Nach 5 Min. Runde: Hat jede Gruppe eine Idee? Wenn nicht: erst Tippkarte, dann Notfall-Idee aus dem Umschlag. Um ca. 42': eine Person als Moderation gewinnen und ihr die Moderationskarte geben.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47–72'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Bühne frei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7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Gruppen spielen nacheinander Version A und B ohne Unterbrechung; Publikum füllt den Beobachtungsbogen aus (30 Sek. nach jeder Gruppe)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7. Ins Publikum setzen, Moderation leitet. Zeit im Blick: pro Gruppe ca. 3,5 Min. Gelungene Formulierungen notieren. Wird es knapp: restliche Gruppen spielen zu Beginn der nächsten Stunde.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72–85'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Auswertung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8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2' still Bogen ergänzen → 4' Tischgruppe bespricht die Patenszene → Plenum: 1 Min. Rückmeldung pro Gruppe, Spielgruppe ergänzt einen Satz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8. Moderation führt durch die drei Schritte (oder Sie übernehmen Schritt 3). Zum Schluss höchstens 1 Min.: zwei gelungene Formulierungen aus Ihren Notizen vorlesen.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85–90'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Exit-Ticket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6"/>
                <w:szCs w:val="16"/>
              </w:rPr>
              <w:t xml:space="preserve">Folie 9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nimmt das Exit-Ticket aus dem Umschlag, bearbeitet es, gibt es an der Tür ab</w:t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Folie 9, Timer 4 Min. An die Tür stellen und einsammeln.</w:t>
            </w:r>
          </w:p>
        </w:tc>
      </w:tr>
      <w:tr>
        <w:trPr>
          <w:cantSplit/>
          <w:trHeight w:val="500" w:hRule="atLeast"/>
        </w:trPr>
        <w:tc>
          <w:tcPr>
            <w:tcW w:type="dxa" w:w="1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danach</w:t>
            </w:r>
          </w:p>
        </w:tc>
        <w:tc>
          <w:tcPr>
            <w:tcW w:type="dxa" w:w="1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10" w:before="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19"/>
                <w:szCs w:val="19"/>
              </w:rPr>
              <w:t xml:space="preserve">Nachbereitung</w:t>
            </w:r>
          </w:p>
        </w:tc>
        <w:tc>
          <w:tcPr>
            <w:tcW w:type="dxa" w:w="31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1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8"/>
                <w:szCs w:val="18"/>
              </w:rPr>
              <w:t xml:space="preserve">Exit-Tickets sichten: Wer kann schon eine Ich-Botschaft mit Bitte formulieren? 2–3 gute Beispiele als Einstieg für die nächste Stunde auswählen. Liegengebliebene Szenen einplanen.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LÖSUNGSBLATT · SELBSTKONTROLLE AUFGABE 2 · DARF ANS PULT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Kipppunkte in „Das Referat“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Mindestens drei davon solltet ihr gefunden haben. Andere Begründungen sind richtig, wenn sie mit dem Text und einem Modell belegt sind.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900"/>
        <w:gridCol w:w="4006"/>
        <w:gridCol w:w="2500"/>
      </w:tblGrid>
      <w:tr>
        <w:trPr>
          <w:cantSplit/>
          <w:trHeight w:val="44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Zeile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passiert?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Warum kippt es hier?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Was hätte geholfen?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3 ★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„Du hattest eine ganze Woche Zeit.“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Erster Kipppunkt. Lenas Selbstkundgabe (Ich bin nervös wegen morgen) versteckt sich in einem Vorwurf, also einer Du-Botschaft. Tom hört mit dem Beziehungsohr: „Du hältst mich für unzuverlässig.“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 Ich-Botschaft, C Bitte mit Uhrzeit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4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„Nicht jeder hat so viel Freizeit wie du.“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Tom verteidigt sich mit einem Gegenangriff auf der Beziehungsebene statt die Sache zu klären. Beginn der symmetrischen Eskalation: Jeder will „oben“ bleiben.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 Empathie: Lenas Stress anerkennen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5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„Immer bleibt alles an mir hängen.“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Verallgemeinerung („immer“). Lenas eigentliches Gefühl (überfordert, allein gelassen) kommt nur als Anklage an. Interpunktion: Beide sehen sich als diejenigen, die nur reagieren.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 Ich-Botschaft, C Bedürfnis nennen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7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„Super. Genau das hab ich von dir erwartet.“ (verdreht die Augen)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Ironie: Die Worte sind positiv, Tonfall und Mimik negativ. Das ist eine inkongruente Botschaft (digitale und analoge Ebene widersprechen sich). Zugleich wertet Lena Tom als Person ab.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 Metakommunikation: Streit benennen, gemeinsames Ziel</w:t>
            </w:r>
          </w:p>
        </w:tc>
      </w:tr>
      <w:tr>
        <w:trPr>
          <w:cantSplit/>
          <w:trHeight w:val="1100" w:hRule="atLeast"/>
        </w:trPr>
        <w:tc>
          <w:tcPr>
            <w:tcW w:type="dxa" w:w="8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8–9</w:t>
            </w:r>
          </w:p>
        </w:tc>
        <w:tc>
          <w:tcPr>
            <w:tcW w:type="dxa" w:w="29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i/>
                <w:iCs/>
                <w:color w:val="000000"/>
                <w:sz w:val="20"/>
                <w:szCs w:val="20"/>
              </w:rPr>
              <w:t xml:space="preserve">Tom schaut aufs Handy. Lena: „Ist ja auch wichtiger.“</w:t>
            </w:r>
          </w:p>
        </w:tc>
        <w:tc>
          <w:tcPr>
            <w:tcW w:type="dxa" w:w="40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000000"/>
                <w:sz w:val="19"/>
                <w:szCs w:val="19"/>
              </w:rPr>
              <w:t xml:space="preserve">„Man kann nicht nicht kommunizieren.“ Toms Rückzug ist auch eine Botschaft. Lena deutet ihn als Desinteresse, Tom meint vermutlich: „Ich will nicht mehr streiten.“ Danach ist das Gespräch kaum noch zu retten.</w:t>
            </w:r>
          </w:p>
        </w:tc>
        <w:tc>
          <w:tcPr>
            <w:tcW w:type="dxa" w:w="2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EAF0FA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 „Wie meinst du das?“, B Gefühl ansprechen</w:t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D9534F"/>
                <w:sz w:val="22"/>
                <w:szCs w:val="22"/>
              </w:rPr>
              <w:t xml:space="preserve">★ Warum Zeile 3?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Hier ist noch nichts passiert, das man zurücknehmen müsste. Lena will eigentlich nur Sicherheit für morgen. Hätte sie das als Ich-Botschaft gesagt, wäre Tom gar nicht in die Verteidigung gegangen. Jeder spätere Kipppunkt baut auf dem vorherigen auf – je später man eingreift, desto schwerer wird es.</w:t>
            </w:r>
          </w:p>
        </w:tc>
      </w:tr>
    </w:tbl>
    <w:p>
      <w:pPr>
        <w:pageBreakBefore/>
        <w:spacing w:after="20" w:before="0"/>
      </w:pPr>
      <w:r>
        <w:rPr>
          <w:rFonts w:ascii="Calibri" w:cs="Calibri" w:eastAsia="Calibri" w:hAnsi="Calibri"/>
          <w:b/>
          <w:bCs/>
          <w:color w:val="5B6B8C"/>
          <w:sz w:val="18"/>
          <w:szCs w:val="18"/>
        </w:rPr>
        <w:t xml:space="preserve">LÖSUNGSBLATT · MUSTERLÖSUNG AUFGABE 3 · DARF ANS PULT</w:t>
      </w:r>
    </w:p>
    <w:p>
      <w:pPr>
        <w:spacing w:after="60" w:before="0"/>
      </w:pPr>
      <w:r>
        <w:rPr>
          <w:rFonts w:ascii="Cambria" w:cs="Cambria" w:eastAsia="Cambria" w:hAnsi="Cambria"/>
          <w:b/>
          <w:bCs/>
          <w:color w:val="1E2761"/>
          <w:sz w:val="40"/>
          <w:szCs w:val="40"/>
        </w:rPr>
        <w:t xml:space="preserve">So hätte es laufen können</w:t>
      </w:r>
    </w:p>
    <w:p>
      <w:pPr>
        <w:spacing w:after="120" w:before="0"/>
      </w:pPr>
      <w:r>
        <w:rPr>
          <w:rFonts w:ascii="Calibri" w:cs="Calibri" w:eastAsia="Calibri" w:hAnsi="Calibri"/>
          <w:i/>
          <w:iCs/>
          <w:color w:val="5B6B8C"/>
          <w:sz w:val="20"/>
          <w:szCs w:val="20"/>
        </w:rPr>
        <w:t xml:space="preserve">Eine mögliche Version B. Eure darf ganz anders klingen – wichtig ist, dass sie die Checkliste erfüllt.</w:t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1100"/>
        <w:gridCol w:w="6906"/>
        <w:gridCol w:w="1500"/>
      </w:tblGrid>
      <w:tr>
        <w:trPr>
          <w:cantSplit/>
          <w:trHeight w:val="4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Z.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Wer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Version B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Strategie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3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Heute Abend? Ehrlich gesagt macht mich das nervös, weil wir morgen schon dran sind und ich die Folien vorher einmal sehen wollte.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A Ich-Botschaft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4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Verstehe ich. Du willst sicher sein, dass alles passt, oder? Ich hatte diese Woche dreimal Training und hab’s unterschätzt.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 Empathie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5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Ja, genau. Ich hab schon die Gliederung gemacht und fühl mich gerade ein bisschen allein mit dem Ganzen.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8"/>
                <w:szCs w:val="18"/>
              </w:rPr>
              <w:t xml:space="preserve">A Ich-Botschaft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6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Okay, das ist fair. Tut mir leid.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2E9E6B"/>
                <w:sz w:val="18"/>
                <w:szCs w:val="18"/>
              </w:rPr>
              <w:t xml:space="preserve">B Empathie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7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Kannst du mir die Folien bis 19 Uhr schicken? Dann schaue ich drüber, und wir proben morgen früh vor der ersten Stunde einmal.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E8A33D"/>
                <w:sz w:val="18"/>
                <w:szCs w:val="18"/>
              </w:rPr>
              <w:t xml:space="preserve">C Bitte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8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Tom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19 Uhr schaffe ich. Und beim nächsten Mal sagen wir uns früher Bescheid, wenn’s eng wird – einverstanden?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18"/>
                <w:szCs w:val="18"/>
              </w:rPr>
              <w:t xml:space="preserve">D Meta</w:t>
            </w:r>
          </w:p>
        </w:tc>
      </w:tr>
      <w:tr>
        <w:trPr>
          <w:cantSplit/>
          <w:trHeight w:val="640" w:hRule="atLeast"/>
        </w:trPr>
        <w:tc>
          <w:tcPr>
            <w:tcW w:type="dxa" w:w="7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22"/>
                <w:szCs w:val="22"/>
              </w:rPr>
              <w:t xml:space="preserve">9</w:t>
            </w:r>
          </w:p>
        </w:tc>
        <w:tc>
          <w:tcPr>
            <w:tcW w:type="dxa" w:w="11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F4F7FD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22"/>
                <w:szCs w:val="22"/>
              </w:rPr>
              <w:t xml:space="preserve">Lena</w:t>
            </w:r>
          </w:p>
        </w:tc>
        <w:tc>
          <w:tcPr>
            <w:tcW w:type="dxa" w:w="69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color w:val="000000"/>
                <w:sz w:val="21"/>
                <w:szCs w:val="21"/>
              </w:rPr>
              <w:t xml:space="preserve">Einverstanden.</w:t>
            </w:r>
          </w:p>
        </w:tc>
        <w:tc>
          <w:tcPr>
            <w:tcW w:type="dxa" w:w="150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5B6B8C"/>
                <w:sz w:val="18"/>
                <w:szCs w:val="18"/>
              </w:rPr>
              <w:t xml:space="preserve"/>
            </w:r>
          </w:p>
        </w:tc>
      </w:tr>
    </w:tbl>
    <w:p>
      <w:pPr>
        <w:spacing w:after="100" w:before="0"/>
      </w:pPr>
      <w:r>
        <w:rPr>
          <w:rFonts w:ascii="Calibri" w:cs="Calibri" w:eastAsia="Calibri" w:hAnsi="Calibri"/>
          <w:color w:val="000000"/>
          <w:sz w:val="22"/>
          <w:szCs w:val="22"/>
        </w:rPr>
        <w:t xml:space="preserve"/>
      </w:r>
    </w:p>
    <w:tbl>
      <w:tblPr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6"/>
      </w:tblGrid>
      <w:tr>
        <w:trPr>
          <w:cantSplit/>
        </w:trPr>
        <w:tc>
          <w:tcPr>
            <w:tcW w:type="dxa" w:w="10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AF0FA" w:color="auto" w:val="clear"/>
            <w:tcMar>
              <w:top w:type="dxa" w:w="120"/>
              <w:left w:type="dxa" w:w="100"/>
              <w:bottom w:type="dxa" w:w="120"/>
              <w:right w:type="dxa" w:w="100"/>
            </w:tcMar>
            <w:vAlign w:val="center"/>
          </w:tcPr>
          <w:p>
            <w:pPr>
              <w:spacing w:after="40" w:before="0"/>
            </w:pPr>
            <w:r>
              <w:rPr>
                <w:rFonts w:ascii="Calibri" w:cs="Calibri" w:eastAsia="Calibri" w:hAnsi="Calibri"/>
                <w:b/>
                <w:bCs/>
                <w:color w:val="8E5BB5"/>
                <w:sz w:val="22"/>
                <w:szCs w:val="22"/>
              </w:rPr>
              <w:t xml:space="preserve">Metakommunikation – wenn es schon eskaliert ist  </w:t>
            </w:r>
            <w:r>
              <w:rPr>
                <w:rFonts w:ascii="Calibri" w:cs="Calibri" w:eastAsia="Calibri" w:hAnsi="Calibri"/>
                <w:color w:val="000000"/>
                <w:sz w:val="20"/>
                <w:szCs w:val="20"/>
              </w:rPr>
              <w:t xml:space="preserve">Auch nach Zeile 7 ist noch etwas zu retten, z. B. Tom: „Stopp. Wir streiten gerade nur noch. Ich will auch, dass das Referat gut wird – lass uns fünf Minuten überlegen, wie wir das bis morgen schaffen.“</w:t>
            </w:r>
          </w:p>
        </w:tc>
      </w:tr>
    </w:tbl>
    <w:p>
      <w:pPr>
        <w:keepNext/>
        <w:spacing w:after="80" w:before="140"/>
      </w:pP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✓  </w:t>
      </w:r>
      <w:r>
        <w:rPr>
          <w:rFonts w:ascii="Cambria" w:cs="Cambria" w:eastAsia="Cambria" w:hAnsi="Cambria"/>
          <w:b/>
          <w:bCs/>
          <w:color w:val="1E2761"/>
          <w:sz w:val="26"/>
          <w:szCs w:val="26"/>
        </w:rPr>
        <w:t xml:space="preserve">Erwartungshorizont Exit-Ticket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1 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z. B. „Ich fühle mich gerade übergangen, wenn ich dir etwas erzähle und du dabei aufs Handy schaust. Kannst du es kurz weglegen, bis ich fertig bin?“ – Kriterien: Ich-Form, Gefühl, konkreter Anlass statt „nie“, erfüllbare Bitte.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color w:val="D9534F"/>
          <w:sz w:val="22"/>
          <w:szCs w:val="22"/>
        </w:rPr>
        <w:t xml:space="preserve">2  </w:t>
      </w:r>
      <w:r>
        <w:rPr>
          <w:rFonts w:ascii="Calibri" w:cs="Calibri" w:eastAsia="Calibri" w:hAnsi="Calibri"/>
          <w:color w:val="000000"/>
          <w:sz w:val="20"/>
          <w:szCs w:val="20"/>
        </w:rPr>
        <w:t xml:space="preserve">z. B. Du-Botschaften und Vorwürfe · „immer“ / „nie“ · Gegenangriff statt Antwort · Ironie · es geht um die Person statt um die Sache · Körpersprache (Augenrollen, Wegdrehen, Handy) · lauter werden · Abbruch.</w:t>
      </w:r>
    </w:p>
    <w:sectPr>
      <w:footerReference w:type="default" r:id="rId7"/>
      <w:pgSz w:w="11906" w:h="16838" w:orient="portrait"/>
      <w:pgMar w:top="900" w:right="850" w:bottom="800" w:left="850" w:header="4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Lehrermaterial &amp; Lösungen · Seite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2026-09-25T18:42:40.522Z</dcterms:created>
  <dcterms:modified xsi:type="dcterms:W3CDTF">2026-09-25T18:42:40.522Z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