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0"/>
      </w:pPr>
      <w:r>
        <w:rPr>
          <w:rFonts w:ascii="Calibri" w:cs="Calibri" w:eastAsia="Calibri" w:hAnsi="Calibri"/>
          <w:b/>
          <w:bCs/>
          <w:color w:val="AD4426"/>
          <w:sz w:val="16"/>
          <w:szCs w:val="16"/>
        </w:rPr>
        <w:t xml:space="preserve">GESCHICHTE · KLASSE 11 · TEST · LEHRKRAFT</w:t>
      </w:r>
    </w:p>
    <w:p>
      <w:pPr>
        <w:spacing w:after="60"/>
      </w:pPr>
      <w:r>
        <w:rPr>
          <w:rFonts w:ascii="Cambria" w:cs="Cambria" w:eastAsia="Cambria" w:hAnsi="Cambria"/>
          <w:b/>
          <w:bCs/>
          <w:sz w:val="32"/>
          <w:szCs w:val="32"/>
        </w:rPr>
        <w:t xml:space="preserve">Erwartungshorizont und Notenschlüssel</w:t>
      </w:r>
    </w:p>
    <w:p>
      <w:pPr>
        <w:spacing w:after="70" w:before="0"/>
      </w:pPr>
      <w:r>
        <w:rPr>
          <w:rFonts w:ascii="Calibri" w:cs="Calibri" w:eastAsia="Calibri" w:hAnsi="Calibri"/>
          <w:color w:val="2B2318"/>
          <w:sz w:val="19"/>
          <w:szCs w:val="19"/>
        </w:rPr>
        <w:t xml:space="preserve">Test „Athen um 600 v. Chr. – Drakon, Solon, Peisistratos“ · 45 Minuten · </w:t>
      </w:r>
      <w:r>
        <w:rPr>
          <w:rFonts w:ascii="Calibri" w:cs="Calibri" w:eastAsia="Calibri" w:hAnsi="Calibri"/>
          <w:b/>
          <w:bCs/>
          <w:color w:val="2B2318"/>
          <w:sz w:val="19"/>
          <w:szCs w:val="19"/>
        </w:rPr>
        <w:t xml:space="preserve">37 Punkte + 1 Zusatzpunkt</w:t>
      </w:r>
      <w:r>
        <w:rPr>
          <w:rFonts w:ascii="Calibri" w:cs="Calibri" w:eastAsia="Calibri" w:hAnsi="Calibri"/>
          <w:color w:val="2B2318"/>
          <w:sz w:val="19"/>
          <w:szCs w:val="19"/>
        </w:rPr>
        <w:t xml:space="preserve"> (der Zusatzpunkt kann fehlende Punkte ausgleichen, die Höchstpunktzahl bleibt 37).</w:t>
      </w:r>
    </w:p>
    <w:p>
      <w:pPr>
        <w:keepNext/>
        <w:spacing w:after="90" w:before="200"/>
      </w:pPr>
      <w:r>
        <w:rPr>
          <w:rFonts w:ascii="Cambria" w:cs="Cambria" w:eastAsia="Cambria" w:hAnsi="Cambria"/>
          <w:b/>
          <w:bCs/>
          <w:color w:val="AD4426"/>
          <w:sz w:val="25"/>
          <w:szCs w:val="25"/>
        </w:rPr>
        <w:t xml:space="preserve">Aufgabe 1 · Krise um 600 (6 P.)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338"/>
        <w:gridCol w:w="1000"/>
      </w:tblGrid>
      <w:tr>
        <w:trPr>
          <w:tblHeader/>
        </w:trPr>
        <w:tc>
          <w:tcPr>
            <w:tcW w:type="dxa" w:w="2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Teil</w:t>
            </w:r>
          </w:p>
        </w:tc>
        <w:tc>
          <w:tcPr>
            <w:tcW w:type="dxa" w:w="63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Erwartung</w:t>
            </w:r>
          </w:p>
        </w:tc>
        <w:tc>
          <w:tcPr>
            <w:tcW w:type="dxa" w:w="10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Punkte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8"/>
                <w:szCs w:val="18"/>
              </w:rPr>
              <w:t xml:space="preserve">a) vier Probleme</w:t>
            </w:r>
          </w:p>
        </w:tc>
        <w:tc>
          <w:tcPr>
            <w:tcW w:type="dxa" w:w="63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Schuldknechtschaft · Land in den Händen weniger (Adel/Großgrundbesitzer) · Recht nur beim Adel, Blutrache/keine geschriebenen Gesetze · politische Macht nur beim Adel. Auch akzeptieren: Bevölkerungswachstum/Landmangel, Verarmung der Bauern, drohender Aufruhr.</w:t>
            </w:r>
          </w:p>
        </w:tc>
        <w:tc>
          <w:tcPr>
            <w:tcW w:type="dxa" w:w="10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je 1 = 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8"/>
                <w:szCs w:val="18"/>
              </w:rPr>
              <w:t xml:space="preserve">b) Weg in die Schuldknechtschaft</w:t>
            </w:r>
          </w:p>
        </w:tc>
        <w:tc>
          <w:tcPr>
            <w:tcW w:type="dxa" w:w="63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Kleinbauer kann von seinem Land kaum leben → leiht Saatgut/Getreide beim Adligen → kann nicht zurückzahlen → verliert sein Land und muss mit Leib und Leben haften: wird abhängig oder Sklave, evtl. ins Ausland verkauft.</w:t>
            </w:r>
          </w:p>
        </w:tc>
        <w:tc>
          <w:tcPr>
            <w:tcW w:type="dxa" w:w="10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2 (Ursache 1, Folge 1)</w:t>
            </w:r>
          </w:p>
        </w:tc>
      </w:tr>
    </w:tbl>
    <w:p>
      <w:pPr>
        <w:keepNext/>
        <w:spacing w:after="90" w:before="200"/>
      </w:pPr>
      <w:r>
        <w:rPr>
          <w:rFonts w:ascii="Cambria" w:cs="Cambria" w:eastAsia="Cambria" w:hAnsi="Cambria"/>
          <w:b/>
          <w:bCs/>
          <w:color w:val="AD4426"/>
          <w:sz w:val="25"/>
          <w:szCs w:val="25"/>
        </w:rPr>
        <w:t xml:space="preserve">Aufgabe 2 · Richtig oder falsch (9 P.)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300"/>
        <w:gridCol w:w="6638"/>
        <w:gridCol w:w="1000"/>
      </w:tblGrid>
      <w:tr>
        <w:trPr>
          <w:tblHeader/>
        </w:trPr>
        <w:tc>
          <w:tcPr>
            <w:tcW w:type="dxa" w:w="7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</w:p>
        </w:tc>
        <w:tc>
          <w:tcPr>
            <w:tcW w:type="dxa" w:w="1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Lösung</w:t>
            </w:r>
          </w:p>
        </w:tc>
        <w:tc>
          <w:tcPr>
            <w:tcW w:type="dxa" w:w="66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Berichtigung</w:t>
            </w:r>
          </w:p>
        </w:tc>
        <w:tc>
          <w:tcPr>
            <w:tcW w:type="dxa" w:w="10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Punkte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8"/>
                <w:szCs w:val="18"/>
              </w:rPr>
              <w:t xml:space="preserve">a</w:t>
            </w:r>
          </w:p>
        </w:tc>
        <w:tc>
          <w:tcPr>
            <w:tcW w:type="dxa" w:w="1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richtig</w:t>
            </w:r>
          </w:p>
        </w:tc>
        <w:tc>
          <w:tcPr>
            <w:tcW w:type="dxa" w:w="66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–</w:t>
            </w:r>
          </w:p>
        </w:tc>
        <w:tc>
          <w:tcPr>
            <w:tcW w:type="dxa" w:w="10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8"/>
                <w:szCs w:val="18"/>
              </w:rPr>
              <w:t xml:space="preserve">b</w:t>
            </w:r>
          </w:p>
        </w:tc>
        <w:tc>
          <w:tcPr>
            <w:tcW w:type="dxa" w:w="1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falsch</w:t>
            </w:r>
          </w:p>
        </w:tc>
        <w:tc>
          <w:tcPr>
            <w:tcW w:type="dxa" w:w="66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Die Schuldknechtschaft blieb unter Drakon bestehen (erst Solon hob sie auf).</w:t>
            </w:r>
          </w:p>
        </w:tc>
        <w:tc>
          <w:tcPr>
            <w:tcW w:type="dxa" w:w="10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1 + 1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8"/>
                <w:szCs w:val="18"/>
              </w:rPr>
              <w:t xml:space="preserve">c</w:t>
            </w:r>
          </w:p>
        </w:tc>
        <w:tc>
          <w:tcPr>
            <w:tcW w:type="dxa" w:w="1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richtig</w:t>
            </w:r>
          </w:p>
        </w:tc>
        <w:tc>
          <w:tcPr>
            <w:tcW w:type="dxa" w:w="66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–</w:t>
            </w:r>
          </w:p>
        </w:tc>
        <w:tc>
          <w:tcPr>
            <w:tcW w:type="dxa" w:w="10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8"/>
                <w:szCs w:val="18"/>
              </w:rPr>
              <w:t xml:space="preserve">d</w:t>
            </w:r>
          </w:p>
        </w:tc>
        <w:tc>
          <w:tcPr>
            <w:tcW w:type="dxa" w:w="1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falsch</w:t>
            </w:r>
          </w:p>
        </w:tc>
        <w:tc>
          <w:tcPr>
            <w:tcW w:type="dxa" w:w="66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Solon strich die Schulden, verteilte aber kein Land neu; die Großgrundbesitzer behielten ihr Land.</w:t>
            </w:r>
          </w:p>
        </w:tc>
        <w:tc>
          <w:tcPr>
            <w:tcW w:type="dxa" w:w="10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1 + 1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8"/>
                <w:szCs w:val="18"/>
              </w:rPr>
              <w:t xml:space="preserve">e</w:t>
            </w:r>
          </w:p>
        </w:tc>
        <w:tc>
          <w:tcPr>
            <w:tcW w:type="dxa" w:w="1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falsch</w:t>
            </w:r>
          </w:p>
        </w:tc>
        <w:tc>
          <w:tcPr>
            <w:tcW w:type="dxa" w:w="66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Peisistratos eroberte die Macht mit einem Söldnerheer und besetzte die Akropolis (546).</w:t>
            </w:r>
          </w:p>
        </w:tc>
        <w:tc>
          <w:tcPr>
            <w:tcW w:type="dxa" w:w="10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1 + 1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8"/>
                <w:szCs w:val="18"/>
              </w:rPr>
              <w:t xml:space="preserve">f</w:t>
            </w:r>
          </w:p>
        </w:tc>
        <w:tc>
          <w:tcPr>
            <w:tcW w:type="dxa" w:w="1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richtig</w:t>
            </w:r>
          </w:p>
        </w:tc>
        <w:tc>
          <w:tcPr>
            <w:tcW w:type="dxa" w:w="66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–</w:t>
            </w:r>
          </w:p>
        </w:tc>
        <w:tc>
          <w:tcPr>
            <w:tcW w:type="dxa" w:w="10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1</w:t>
            </w:r>
          </w:p>
        </w:tc>
      </w:tr>
    </w:tbl>
    <w:p>
      <w:pPr>
        <w:keepNext/>
        <w:spacing w:after="90" w:before="200"/>
      </w:pPr>
      <w:r>
        <w:rPr>
          <w:rFonts w:ascii="Cambria" w:cs="Cambria" w:eastAsia="Cambria" w:hAnsi="Cambria"/>
          <w:b/>
          <w:bCs/>
          <w:color w:val="AD4426"/>
          <w:sz w:val="25"/>
          <w:szCs w:val="25"/>
        </w:rPr>
        <w:t xml:space="preserve">Aufgabe 3 · Urteile erkennen (6 P.)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338"/>
        <w:gridCol w:w="1000"/>
      </w:tblGrid>
      <w:tr>
        <w:trPr>
          <w:tblHeader/>
        </w:trPr>
        <w:tc>
          <w:tcPr>
            <w:tcW w:type="dxa" w:w="2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Teil</w:t>
            </w:r>
          </w:p>
        </w:tc>
        <w:tc>
          <w:tcPr>
            <w:tcW w:type="dxa" w:w="63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Erwartung</w:t>
            </w:r>
          </w:p>
        </w:tc>
        <w:tc>
          <w:tcPr>
            <w:tcW w:type="dxa" w:w="10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Punkte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8"/>
                <w:szCs w:val="18"/>
              </w:rPr>
              <w:t xml:space="preserve">a)</w:t>
            </w:r>
          </w:p>
        </w:tc>
        <w:tc>
          <w:tcPr>
            <w:tcW w:type="dxa" w:w="63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1 = W (heutiger Maßstab „Schutz der Schwachen“ genannt) · 2 = S (Urteil aus Sicht der damaligen Zeit, begründet) · 3 = S (damalige Sicht, begründet) · 4 = W (wertet, aber ohne Maßstab und Begründung)</w:t>
            </w:r>
          </w:p>
        </w:tc>
        <w:tc>
          <w:tcPr>
            <w:tcW w:type="dxa" w:w="10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je 1 = 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8"/>
                <w:szCs w:val="18"/>
              </w:rPr>
              <w:t xml:space="preserve">b) verbessertes Werturteil</w:t>
            </w:r>
          </w:p>
        </w:tc>
        <w:tc>
          <w:tcPr>
            <w:tcW w:type="dxa" w:w="63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Maßstab genannt (z. B. gleiche Regeln: Macht mit Gewalt erobert → nicht gerechtfertigt; Schutz der Schwachen: Land für Besitzlose → teilweise gerecht) und begründet.</w:t>
            </w:r>
          </w:p>
        </w:tc>
        <w:tc>
          <w:tcPr>
            <w:tcW w:type="dxa" w:w="10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Maßstab 1, Begründung 1</w:t>
            </w:r>
          </w:p>
        </w:tc>
      </w:tr>
    </w:tbl>
    <w:p>
      <w:pPr>
        <w:keepNext/>
        <w:spacing w:after="90" w:before="200"/>
      </w:pPr>
      <w:r>
        <w:rPr>
          <w:rFonts w:ascii="Cambria" w:cs="Cambria" w:eastAsia="Cambria" w:hAnsi="Cambria"/>
          <w:b/>
          <w:bCs/>
          <w:color w:val="AD4426"/>
          <w:sz w:val="25"/>
          <w:szCs w:val="25"/>
        </w:rPr>
        <w:t xml:space="preserve">Aufgabe 4 · Solons Verfassung (10 P.)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338"/>
        <w:gridCol w:w="1000"/>
      </w:tblGrid>
      <w:tr>
        <w:trPr>
          <w:tblHeader/>
        </w:trPr>
        <w:tc>
          <w:tcPr>
            <w:tcW w:type="dxa" w:w="2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Teil</w:t>
            </w:r>
          </w:p>
        </w:tc>
        <w:tc>
          <w:tcPr>
            <w:tcW w:type="dxa" w:w="63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Erwartung</w:t>
            </w:r>
          </w:p>
        </w:tc>
        <w:tc>
          <w:tcPr>
            <w:tcW w:type="dxa" w:w="10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Punkte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8"/>
                <w:szCs w:val="18"/>
              </w:rPr>
              <w:t xml:space="preserve">a) Ämter und Volksversammlung</w:t>
            </w:r>
          </w:p>
        </w:tc>
        <w:tc>
          <w:tcPr>
            <w:tcW w:type="dxa" w:w="63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von links: Areopag – Archonten (Pfeil zum Areopag) – Rat der 400 – Geschworenengericht; unten: Volksversammlung</w:t>
            </w:r>
          </w:p>
        </w:tc>
        <w:tc>
          <w:tcPr>
            <w:tcW w:type="dxa" w:w="10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je 1 = 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8"/>
                <w:szCs w:val="18"/>
              </w:rPr>
              <w:t xml:space="preserve">b) Rechte</w:t>
            </w:r>
          </w:p>
        </w:tc>
        <w:tc>
          <w:tcPr>
            <w:tcW w:type="dxa" w:w="63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1. Klasse: alles · 2. und 3. Klasse: abstimmen, klagen, Rat – nicht Archont · Theten: nur abstimmen und klagen</w:t>
            </w:r>
          </w:p>
        </w:tc>
        <w:tc>
          <w:tcPr>
            <w:tcW w:type="dxa" w:w="10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je Klasse 1 = 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8"/>
                <w:szCs w:val="18"/>
              </w:rPr>
              <w:t xml:space="preserve">c) Pfeile</w:t>
            </w:r>
          </w:p>
        </w:tc>
        <w:tc>
          <w:tcPr>
            <w:tcW w:type="dxa" w:w="63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1. Klasse → Archonten und Rat der 400; 2. und 3. Klasse → Rat der 400; Theten → kein Amt</w:t>
            </w:r>
          </w:p>
        </w:tc>
        <w:tc>
          <w:tcPr>
            <w:tcW w:type="dxa" w:w="10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1</w:t>
            </w:r>
          </w:p>
        </w:tc>
      </w:tr>
    </w:tbl>
    <w:p>
      <w:pPr>
        <w:keepNext/>
        <w:spacing w:after="90" w:before="200"/>
      </w:pPr>
      <w:r>
        <w:rPr>
          <w:rFonts w:ascii="Cambria" w:cs="Cambria" w:eastAsia="Cambria" w:hAnsi="Cambria"/>
          <w:b/>
          <w:bCs/>
          <w:color w:val="AD4426"/>
          <w:sz w:val="25"/>
          <w:szCs w:val="25"/>
        </w:rPr>
        <w:t xml:space="preserve">Aufgabe 5 · Selbst urteilen (6 P.)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338"/>
        <w:gridCol w:w="1000"/>
      </w:tblGrid>
      <w:tr>
        <w:trPr>
          <w:tblHeader/>
        </w:trPr>
        <w:tc>
          <w:tcPr>
            <w:tcW w:type="dxa" w:w="2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Teil</w:t>
            </w:r>
          </w:p>
        </w:tc>
        <w:tc>
          <w:tcPr>
            <w:tcW w:type="dxa" w:w="63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Erwartung</w:t>
            </w:r>
          </w:p>
        </w:tc>
        <w:tc>
          <w:tcPr>
            <w:tcW w:type="dxa" w:w="10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Punkte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8"/>
                <w:szCs w:val="18"/>
              </w:rPr>
              <w:t xml:space="preserve">a) Sachurteil</w:t>
            </w:r>
          </w:p>
        </w:tc>
        <w:tc>
          <w:tcPr>
            <w:tcW w:type="dxa" w:w="63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Klare Position („weitgehend“/„teilweise“) aus der Sicht der damaligen Zeit. Belege z. B.: Schulden gestrichen, Schuldknechtschaft verboten, Versklavte zurückgekauft · Rechte nach Besitz statt Herkunft, Volksversammlung für alle Bürger · aber: kein neues Land, Ämter nur für Reiche, Theten ohne Amt, Unzufriedenheit danach (Peisistratos).</w:t>
            </w:r>
          </w:p>
        </w:tc>
        <w:tc>
          <w:tcPr>
            <w:tcW w:type="dxa" w:w="10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Position 1, je Beleg 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8"/>
                <w:szCs w:val="18"/>
              </w:rPr>
              <w:t xml:space="preserve">b) Werturteil</w:t>
            </w:r>
          </w:p>
        </w:tc>
        <w:tc>
          <w:tcPr>
            <w:tcW w:type="dxa" w:w="63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Maßstab ausdrücklich genannt (Gleichheit, Leistung, Schutz der Schwachen, gleiche Regeln), Position, Begründung mit Beispiel (z. B. Theten dürfen kein Amt übernehmen; Aufstieg durch Besitz möglich). Unterschiedliche Urteile sind richtig, wenn begründet.</w:t>
            </w:r>
          </w:p>
        </w:tc>
        <w:tc>
          <w:tcPr>
            <w:tcW w:type="dxa" w:w="10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Maßstab 1, Position mit Begründung 1, Beispiel 1</w:t>
            </w:r>
          </w:p>
        </w:tc>
      </w:tr>
    </w:tbl>
    <w:p>
      <w:pPr>
        <w:spacing w:after="70" w:before="80"/>
      </w:pPr>
      <w:r>
        <w:rPr>
          <w:rFonts w:ascii="Calibri" w:cs="Calibri" w:eastAsia="Calibri" w:hAnsi="Calibri"/>
          <w:b/>
          <w:bCs/>
          <w:color w:val="2B2318"/>
          <w:sz w:val="19"/>
          <w:szCs w:val="19"/>
        </w:rPr>
        <w:t xml:space="preserve">Zusatz (+1):</w:t>
      </w:r>
      <w:r>
        <w:rPr>
          <w:rFonts w:ascii="Calibri" w:cs="Calibri" w:eastAsia="Calibri" w:hAnsi="Calibri"/>
          <w:color w:val="2B2318"/>
          <w:sz w:val="19"/>
          <w:szCs w:val="19"/>
        </w:rPr>
        <w:t xml:space="preserve"> Timokratie = Staatsform, in der die politischen Rechte vom Besitz abhängen („Wer mehr hat, darf mehr“).</w:t>
      </w:r>
    </w:p>
    <w:p>
      <w:pPr>
        <w:keepNext/>
        <w:spacing w:after="90" w:before="200"/>
      </w:pPr>
      <w:r>
        <w:rPr>
          <w:rFonts w:ascii="Cambria" w:cs="Cambria" w:eastAsia="Cambria" w:hAnsi="Cambria"/>
          <w:b/>
          <w:bCs/>
          <w:color w:val="AD4426"/>
          <w:sz w:val="25"/>
          <w:szCs w:val="25"/>
        </w:rPr>
        <w:t xml:space="preserve">Notenschlüssel (37 Punkte)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6038"/>
      </w:tblGrid>
      <w:tr>
        <w:trPr>
          <w:tblHeader/>
        </w:trPr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Notenpunkte</w:t>
            </w:r>
          </w:p>
        </w:tc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ab Prozent</w:t>
            </w:r>
          </w:p>
        </w:tc>
        <w:tc>
          <w:tcPr>
            <w:tcW w:type="dxa" w:w="60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ab Punkten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15</w:t>
            </w:r>
          </w:p>
        </w:tc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95 %</w:t>
            </w:r>
          </w:p>
        </w:tc>
        <w:tc>
          <w:tcPr>
            <w:tcW w:type="dxa" w:w="60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35,5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14</w:t>
            </w:r>
          </w:p>
        </w:tc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90 %</w:t>
            </w:r>
          </w:p>
        </w:tc>
        <w:tc>
          <w:tcPr>
            <w:tcW w:type="dxa" w:w="60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33,5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13</w:t>
            </w:r>
          </w:p>
        </w:tc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85 %</w:t>
            </w:r>
          </w:p>
        </w:tc>
        <w:tc>
          <w:tcPr>
            <w:tcW w:type="dxa" w:w="60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31,5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12</w:t>
            </w:r>
          </w:p>
        </w:tc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80 %</w:t>
            </w:r>
          </w:p>
        </w:tc>
        <w:tc>
          <w:tcPr>
            <w:tcW w:type="dxa" w:w="60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11</w:t>
            </w:r>
          </w:p>
        </w:tc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75 %</w:t>
            </w:r>
          </w:p>
        </w:tc>
        <w:tc>
          <w:tcPr>
            <w:tcW w:type="dxa" w:w="60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10</w:t>
            </w:r>
          </w:p>
        </w:tc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70 %</w:t>
            </w:r>
          </w:p>
        </w:tc>
        <w:tc>
          <w:tcPr>
            <w:tcW w:type="dxa" w:w="60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9</w:t>
            </w:r>
          </w:p>
        </w:tc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65 %</w:t>
            </w:r>
          </w:p>
        </w:tc>
        <w:tc>
          <w:tcPr>
            <w:tcW w:type="dxa" w:w="60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24,5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8</w:t>
            </w:r>
          </w:p>
        </w:tc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60 %</w:t>
            </w:r>
          </w:p>
        </w:tc>
        <w:tc>
          <w:tcPr>
            <w:tcW w:type="dxa" w:w="60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22,5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7</w:t>
            </w:r>
          </w:p>
        </w:tc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55 %</w:t>
            </w:r>
          </w:p>
        </w:tc>
        <w:tc>
          <w:tcPr>
            <w:tcW w:type="dxa" w:w="60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20,5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6</w:t>
            </w:r>
          </w:p>
        </w:tc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50 %</w:t>
            </w:r>
          </w:p>
        </w:tc>
        <w:tc>
          <w:tcPr>
            <w:tcW w:type="dxa" w:w="60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18,5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5</w:t>
            </w:r>
          </w:p>
        </w:tc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45 %</w:t>
            </w:r>
          </w:p>
        </w:tc>
        <w:tc>
          <w:tcPr>
            <w:tcW w:type="dxa" w:w="60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4</w:t>
            </w:r>
          </w:p>
        </w:tc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40 %</w:t>
            </w:r>
          </w:p>
        </w:tc>
        <w:tc>
          <w:tcPr>
            <w:tcW w:type="dxa" w:w="60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3</w:t>
            </w:r>
          </w:p>
        </w:tc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33 %</w:t>
            </w:r>
          </w:p>
        </w:tc>
        <w:tc>
          <w:tcPr>
            <w:tcW w:type="dxa" w:w="60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12,5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2</w:t>
            </w:r>
          </w:p>
        </w:tc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27 %</w:t>
            </w:r>
          </w:p>
        </w:tc>
        <w:tc>
          <w:tcPr>
            <w:tcW w:type="dxa" w:w="60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1</w:t>
            </w:r>
          </w:p>
        </w:tc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20 %</w:t>
            </w:r>
          </w:p>
        </w:tc>
        <w:tc>
          <w:tcPr>
            <w:tcW w:type="dxa" w:w="60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7,5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0</w:t>
            </w:r>
          </w:p>
        </w:tc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0 %</w:t>
            </w:r>
          </w:p>
        </w:tc>
        <w:tc>
          <w:tcPr>
            <w:tcW w:type="dxa" w:w="60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0</w:t>
            </w:r>
          </w:p>
        </w:tc>
      </w:tr>
    </w:tbl>
    <w:p>
      <w:pPr>
        <w:spacing w:after="70" w:before="60"/>
      </w:pPr>
      <w:r>
        <w:rPr>
          <w:rFonts w:ascii="Calibri" w:cs="Calibri" w:eastAsia="Calibri" w:hAnsi="Calibri"/>
          <w:color w:val="5A5044"/>
          <w:sz w:val="16"/>
          <w:szCs w:val="16"/>
        </w:rPr>
        <w:t xml:space="preserve">Üblicher Oberstufen-Schlüssel nach Prozent; Mindestpunktzahl auf halbe Punkte aufgerundet. Bei Bedarf an den Schlüssel der Schule anpassen.</w:t>
      </w:r>
    </w:p>
    <w:sectPr>
      <w:headerReference w:type="default" r:id="rId6"/>
      <w:pgSz w:w="11906" w:h="16838" w:orient="portrait"/>
      <w:pgMar w:top="900" w:right="1134" w:bottom="8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8C77"/>
        <w:sz w:val="16"/>
        <w:szCs w:val="16"/>
      </w:rPr>
      <w:t xml:space="preserve">Geschichte · Klasse 11 · Test – Erwartungshorizont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318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2026-10-29T15:44:58.275Z</dcterms:created>
  <dcterms:modified xsi:type="dcterms:W3CDTF">2026-10-29T15:44:58.275Z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