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110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6"/>
      </w:tblGrid>
      <w:tr>
        <w:trPr>
          <w:cantSplit/>
        </w:trPr>
        <w:tc>
          <w:tcPr>
            <w:tcW w:type="dxa" w:w="11006"/>
            <w:tcBorders>
              <w:top w:val="dashed" w:color="7A869E" w:sz="8"/>
              <w:left w:val="dashed" w:color="7A869E" w:sz="8"/>
              <w:bottom w:val="dashed" w:color="7A869E" w:sz="8"/>
              <w:right w:val="dashed" w:color="7A869E" w:sz="8"/>
            </w:tcBorders>
            <w:tcMar>
              <w:top w:type="dxa" w:w="80"/>
              <w:left w:type="dxa" w:w="130"/>
              <w:bottom w:type="dxa" w:w="80"/>
              <w:right w:type="dxa" w:w="100"/>
            </w:tcMar>
            <w:vAlign w:val="top"/>
          </w:tcPr>
          <w:p>
            <w:pPr>
              <w:spacing w:after="30" w:before="0"/>
            </w:pPr>
            <w:r>
              <w:rPr>
                <w:rFonts w:ascii="Cambria" w:cs="Cambria" w:eastAsia="Cambria" w:hAnsi="Cambria"/>
                <w:b/>
                <w:bCs/>
                <w:color w:val="1E2761"/>
                <w:sz w:val="25"/>
                <w:szCs w:val="25"/>
              </w:rPr>
              <w:t xml:space="preserve">Lesetechniken wiederholen</w:t>
            </w:r>
            <w:r>
              <w:rPr>
                <w:rFonts w:ascii="Calibri" w:cs="Calibri" w:eastAsia="Calibri" w:hAnsi="Calibri"/>
                <w:i/>
                <w:iCs/>
                <w:color w:val="5B4A8A"/>
                <w:sz w:val="18"/>
                <w:szCs w:val="18"/>
              </w:rPr>
              <w:t xml:space="preserve">   Powtórka: techniki czytania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Ziel: </w:t>
            </w:r>
            <w:r>
              <w:rPr>
                <w:rFonts w:ascii="Calibri" w:cs="Calibri" w:eastAsia="Calibri" w:hAnsi="Calibri"/>
                <w:i/>
                <w:iCs/>
                <w:color w:val="000000"/>
                <w:sz w:val="19"/>
                <w:szCs w:val="19"/>
              </w:rPr>
              <w:t xml:space="preserve">Ich kann die drei Lesetechniken unterscheiden und begründen, welche zu meinem Leseziel passt.</w:t>
            </w:r>
          </w:p>
          <w:p>
            <w:pPr>
              <w:spacing w:after="5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5B4A8A"/>
                <w:sz w:val="17"/>
                <w:szCs w:val="17"/>
              </w:rPr>
              <w:t xml:space="preserve">PL: </w:t>
            </w:r>
            <w:r>
              <w:rPr>
                <w:rFonts w:ascii="Calibri" w:cs="Calibri" w:eastAsia="Calibri" w:hAnsi="Calibri"/>
                <w:i/>
                <w:iCs/>
                <w:color w:val="5B4A8A"/>
                <w:sz w:val="17"/>
                <w:szCs w:val="17"/>
              </w:rPr>
              <w:t xml:space="preserve">Cel: Potrafię rozróżnić trzy techniki czytania i uzasadnić, która pasuje do mojego celu czytania.</w:t>
            </w:r>
          </w:p>
          <w:p>
            <w:pPr>
              <w:spacing w:after="10" w:before="5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20"/>
                <w:szCs w:val="20"/>
              </w:rPr>
              <w:t xml:space="preserve">Ablauf</w:t>
            </w:r>
            <w:r>
              <w:rPr>
                <w:rFonts w:ascii="Calibri" w:cs="Calibri" w:eastAsia="Calibri" w:hAnsi="Calibri"/>
                <w:i/>
                <w:iCs/>
                <w:color w:val="5B4A8A"/>
                <w:sz w:val="17"/>
                <w:szCs w:val="17"/>
              </w:rPr>
              <w:t xml:space="preserve">   przebieg lekcji</w:t>
            </w:r>
          </w:p>
          <w:p>
            <w:pPr>
              <w:spacing w:after="5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5B4A8A"/>
                <w:sz w:val="17"/>
                <w:szCs w:val="17"/>
              </w:rPr>
              <w:t xml:space="preserve">PL: </w:t>
            </w:r>
            <w:r>
              <w:rPr>
                <w:rFonts w:ascii="Calibri" w:cs="Calibri" w:eastAsia="Calibri" w:hAnsi="Calibri"/>
                <w:i/>
                <w:iCs/>
                <w:color w:val="5B4A8A"/>
                <w:sz w:val="17"/>
                <w:szCs w:val="17"/>
              </w:rPr>
              <w:t xml:space="preserve">1 Techniki czytania z pamięci · 2 Która technika pasuje? (A–D) · 3 * Przejrzyj „Paddy Fingal“ (tylko jeśli starczy czasu) · 4 Czy osiągnęliśmy cel?</w:t>
            </w:r>
          </w:p>
          <w:p>
            <w:pPr>
              <w:spacing w:after="10" w:before="5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20"/>
                <w:szCs w:val="20"/>
              </w:rPr>
              <w:t xml:space="preserve">Wichtige Wörter</w:t>
            </w:r>
            <w:r>
              <w:rPr>
                <w:rFonts w:ascii="Calibri" w:cs="Calibri" w:eastAsia="Calibri" w:hAnsi="Calibri"/>
                <w:i/>
                <w:iCs/>
                <w:color w:val="5B4A8A"/>
                <w:sz w:val="17"/>
                <w:szCs w:val="17"/>
              </w:rPr>
              <w:t xml:space="preserve">   ważne słowa</w:t>
            </w:r>
          </w:p>
          <w:tbl>
            <w:tblPr>
              <w:tblW w:type="dxa" w:w="1074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700"/>
              <w:gridCol w:w="8046"/>
            </w:tblGrid>
            <w:tr>
              <w:trPr>
                <w:cantSplit/>
              </w:trPr>
              <w:tc>
                <w:tcPr>
                  <w:tcW w:type="dxa" w:w="2700"/>
                  <w:tcBorders>
                    <w:top w:val="single" w:color="C9D3EA" w:sz="6"/>
                    <w:left w:val="single" w:color="C9D3EA" w:sz="6"/>
                    <w:bottom w:val="single" w:color="C9D3EA" w:sz="6"/>
                    <w:right w:val="single" w:color="C9D3EA" w:sz="6"/>
                  </w:tcBorders>
                  <w:tcMar>
                    <w:top w:type="dxa" w:w="20"/>
                    <w:left w:type="dxa" w:w="70"/>
                    <w:bottom w:type="dxa" w:w="20"/>
                    <w:right w:type="dxa" w:w="10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E2761"/>
                      <w:sz w:val="18"/>
                      <w:szCs w:val="18"/>
                    </w:rPr>
                    <w:t xml:space="preserve">das Leseziel</w:t>
                  </w:r>
                </w:p>
              </w:tc>
              <w:tc>
                <w:tcPr>
                  <w:tcW w:type="dxa" w:w="8046"/>
                  <w:tcBorders>
                    <w:top w:val="single" w:color="C9D3EA" w:sz="6"/>
                    <w:left w:val="single" w:color="C9D3EA" w:sz="6"/>
                    <w:bottom w:val="single" w:color="C9D3EA" w:sz="6"/>
                    <w:right w:val="single" w:color="C9D3EA" w:sz="6"/>
                  </w:tcBorders>
                  <w:shd w:fill="FBFCFF" w:color="auto" w:val="clear"/>
                  <w:tcMar>
                    <w:top w:type="dxa" w:w="20"/>
                    <w:left w:type="dxa" w:w="70"/>
                    <w:bottom w:type="dxa" w:w="20"/>
                    <w:right w:type="dxa" w:w="10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i w:val="false"/>
                      <w:iCs w:val="false"/>
                      <w:color w:val="333333"/>
                      <w:sz w:val="17"/>
                      <w:szCs w:val="17"/>
                    </w:rPr>
                    <w:t xml:space="preserve">cel czytania – co chcę wyczytać z tekstu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700"/>
                  <w:tcBorders>
                    <w:top w:val="single" w:color="C9D3EA" w:sz="6"/>
                    <w:left w:val="single" w:color="C9D3EA" w:sz="6"/>
                    <w:bottom w:val="single" w:color="C9D3EA" w:sz="6"/>
                    <w:right w:val="single" w:color="C9D3EA" w:sz="6"/>
                  </w:tcBorders>
                  <w:tcMar>
                    <w:top w:type="dxa" w:w="20"/>
                    <w:left w:type="dxa" w:w="70"/>
                    <w:bottom w:type="dxa" w:w="20"/>
                    <w:right w:type="dxa" w:w="10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E2761"/>
                      <w:sz w:val="18"/>
                      <w:szCs w:val="18"/>
                    </w:rPr>
                    <w:t xml:space="preserve">überfliegend lesen</w:t>
                  </w:r>
                </w:p>
              </w:tc>
              <w:tc>
                <w:tcPr>
                  <w:tcW w:type="dxa" w:w="8046"/>
                  <w:tcBorders>
                    <w:top w:val="single" w:color="C9D3EA" w:sz="6"/>
                    <w:left w:val="single" w:color="C9D3EA" w:sz="6"/>
                    <w:bottom w:val="single" w:color="C9D3EA" w:sz="6"/>
                    <w:right w:val="single" w:color="C9D3EA" w:sz="6"/>
                  </w:tcBorders>
                  <w:shd w:fill="FBFCFF" w:color="auto" w:val="clear"/>
                  <w:tcMar>
                    <w:top w:type="dxa" w:w="20"/>
                    <w:left w:type="dxa" w:w="70"/>
                    <w:bottom w:type="dxa" w:w="20"/>
                    <w:right w:type="dxa" w:w="10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i w:val="false"/>
                      <w:iCs w:val="false"/>
                      <w:color w:val="333333"/>
                      <w:sz w:val="17"/>
                      <w:szCs w:val="17"/>
                    </w:rPr>
                    <w:t xml:space="preserve">czytać pobieżnie – szybko, żeby wiedzieć, o czym jest tekst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700"/>
                  <w:tcBorders>
                    <w:top w:val="single" w:color="C9D3EA" w:sz="6"/>
                    <w:left w:val="single" w:color="C9D3EA" w:sz="6"/>
                    <w:bottom w:val="single" w:color="C9D3EA" w:sz="6"/>
                    <w:right w:val="single" w:color="C9D3EA" w:sz="6"/>
                  </w:tcBorders>
                  <w:tcMar>
                    <w:top w:type="dxa" w:w="20"/>
                    <w:left w:type="dxa" w:w="70"/>
                    <w:bottom w:type="dxa" w:w="20"/>
                    <w:right w:type="dxa" w:w="10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E2761"/>
                      <w:sz w:val="18"/>
                      <w:szCs w:val="18"/>
                    </w:rPr>
                    <w:t xml:space="preserve">orientierend lesen</w:t>
                  </w:r>
                </w:p>
              </w:tc>
              <w:tc>
                <w:tcPr>
                  <w:tcW w:type="dxa" w:w="8046"/>
                  <w:tcBorders>
                    <w:top w:val="single" w:color="C9D3EA" w:sz="6"/>
                    <w:left w:val="single" w:color="C9D3EA" w:sz="6"/>
                    <w:bottom w:val="single" w:color="C9D3EA" w:sz="6"/>
                    <w:right w:val="single" w:color="C9D3EA" w:sz="6"/>
                  </w:tcBorders>
                  <w:shd w:fill="FBFCFF" w:color="auto" w:val="clear"/>
                  <w:tcMar>
                    <w:top w:type="dxa" w:w="20"/>
                    <w:left w:type="dxa" w:w="70"/>
                    <w:bottom w:type="dxa" w:w="20"/>
                    <w:right w:type="dxa" w:w="10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i w:val="false"/>
                      <w:iCs w:val="false"/>
                      <w:color w:val="333333"/>
                      <w:sz w:val="17"/>
                      <w:szCs w:val="17"/>
                    </w:rPr>
                    <w:t xml:space="preserve">czytać wybiórczo – szukam jednej konkretnej informacji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700"/>
                  <w:tcBorders>
                    <w:top w:val="single" w:color="C9D3EA" w:sz="6"/>
                    <w:left w:val="single" w:color="C9D3EA" w:sz="6"/>
                    <w:bottom w:val="single" w:color="C9D3EA" w:sz="6"/>
                    <w:right w:val="single" w:color="C9D3EA" w:sz="6"/>
                  </w:tcBorders>
                  <w:tcMar>
                    <w:top w:type="dxa" w:w="20"/>
                    <w:left w:type="dxa" w:w="70"/>
                    <w:bottom w:type="dxa" w:w="20"/>
                    <w:right w:type="dxa" w:w="10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E2761"/>
                      <w:sz w:val="18"/>
                      <w:szCs w:val="18"/>
                    </w:rPr>
                    <w:t xml:space="preserve">genau lesen</w:t>
                  </w:r>
                </w:p>
              </w:tc>
              <w:tc>
                <w:tcPr>
                  <w:tcW w:type="dxa" w:w="8046"/>
                  <w:tcBorders>
                    <w:top w:val="single" w:color="C9D3EA" w:sz="6"/>
                    <w:left w:val="single" w:color="C9D3EA" w:sz="6"/>
                    <w:bottom w:val="single" w:color="C9D3EA" w:sz="6"/>
                    <w:right w:val="single" w:color="C9D3EA" w:sz="6"/>
                  </w:tcBorders>
                  <w:shd w:fill="FBFCFF" w:color="auto" w:val="clear"/>
                  <w:tcMar>
                    <w:top w:type="dxa" w:w="20"/>
                    <w:left w:type="dxa" w:w="70"/>
                    <w:bottom w:type="dxa" w:w="20"/>
                    <w:right w:type="dxa" w:w="10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i w:val="false"/>
                      <w:iCs w:val="false"/>
                      <w:color w:val="333333"/>
                      <w:sz w:val="17"/>
                      <w:szCs w:val="17"/>
                    </w:rPr>
                    <w:t xml:space="preserve">czytać dokładnie – zdanie po zdaniu, chcę wszystko zrozumieć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700"/>
                  <w:tcBorders>
                    <w:top w:val="single" w:color="C9D3EA" w:sz="6"/>
                    <w:left w:val="single" w:color="C9D3EA" w:sz="6"/>
                    <w:bottom w:val="single" w:color="C9D3EA" w:sz="6"/>
                    <w:right w:val="single" w:color="C9D3EA" w:sz="6"/>
                  </w:tcBorders>
                  <w:tcMar>
                    <w:top w:type="dxa" w:w="20"/>
                    <w:left w:type="dxa" w:w="70"/>
                    <w:bottom w:type="dxa" w:w="20"/>
                    <w:right w:type="dxa" w:w="10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E2761"/>
                      <w:sz w:val="18"/>
                      <w:szCs w:val="18"/>
                    </w:rPr>
                    <w:t xml:space="preserve">der Trainingsplan · durchblättern</w:t>
                  </w:r>
                </w:p>
              </w:tc>
              <w:tc>
                <w:tcPr>
                  <w:tcW w:type="dxa" w:w="8046"/>
                  <w:tcBorders>
                    <w:top w:val="single" w:color="C9D3EA" w:sz="6"/>
                    <w:left w:val="single" w:color="C9D3EA" w:sz="6"/>
                    <w:bottom w:val="single" w:color="C9D3EA" w:sz="6"/>
                    <w:right w:val="single" w:color="C9D3EA" w:sz="6"/>
                  </w:tcBorders>
                  <w:shd w:fill="FBFCFF" w:color="auto" w:val="clear"/>
                  <w:tcMar>
                    <w:top w:type="dxa" w:w="20"/>
                    <w:left w:type="dxa" w:w="70"/>
                    <w:bottom w:type="dxa" w:w="20"/>
                    <w:right w:type="dxa" w:w="10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i w:val="false"/>
                      <w:iCs w:val="false"/>
                      <w:color w:val="333333"/>
                      <w:sz w:val="17"/>
                      <w:szCs w:val="17"/>
                    </w:rPr>
                    <w:t xml:space="preserve">plan treningów · przeglądać, kartkować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700"/>
                  <w:tcBorders>
                    <w:top w:val="single" w:color="C9D3EA" w:sz="6"/>
                    <w:left w:val="single" w:color="C9D3EA" w:sz="6"/>
                    <w:bottom w:val="single" w:color="C9D3EA" w:sz="6"/>
                    <w:right w:val="single" w:color="C9D3EA" w:sz="6"/>
                  </w:tcBorders>
                  <w:tcMar>
                    <w:top w:type="dxa" w:w="20"/>
                    <w:left w:type="dxa" w:w="70"/>
                    <w:bottom w:type="dxa" w:w="20"/>
                    <w:right w:type="dxa" w:w="10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E2761"/>
                      <w:sz w:val="18"/>
                      <w:szCs w:val="18"/>
                    </w:rPr>
                    <w:t xml:space="preserve">die Wettkampfregeln (Pl.)</w:t>
                  </w:r>
                </w:p>
              </w:tc>
              <w:tc>
                <w:tcPr>
                  <w:tcW w:type="dxa" w:w="8046"/>
                  <w:tcBorders>
                    <w:top w:val="single" w:color="C9D3EA" w:sz="6"/>
                    <w:left w:val="single" w:color="C9D3EA" w:sz="6"/>
                    <w:bottom w:val="single" w:color="C9D3EA" w:sz="6"/>
                    <w:right w:val="single" w:color="C9D3EA" w:sz="6"/>
                  </w:tcBorders>
                  <w:shd w:fill="FBFCFF" w:color="auto" w:val="clear"/>
                  <w:tcMar>
                    <w:top w:type="dxa" w:w="20"/>
                    <w:left w:type="dxa" w:w="70"/>
                    <w:bottom w:type="dxa" w:w="20"/>
                    <w:right w:type="dxa" w:w="10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i w:val="false"/>
                      <w:iCs w:val="false"/>
                      <w:color w:val="333333"/>
                      <w:sz w:val="17"/>
                      <w:szCs w:val="17"/>
                    </w:rPr>
                    <w:t xml:space="preserve">przepisy zawodów (disqualifiziert werden = zostać zdyskwalifikowanym)</w:t>
                  </w:r>
                </w:p>
              </w:tc>
            </w:tr>
          </w:tbl>
          <w:p>
            <w:pPr>
              <w:spacing w:after="10" w:before="5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20"/>
                <w:szCs w:val="20"/>
              </w:rPr>
              <w:t xml:space="preserve">1  Lesetechniken aus dem Gedächtnis</w:t>
            </w:r>
            <w:r>
              <w:rPr>
                <w:rFonts w:ascii="Calibri" w:cs="Calibri" w:eastAsia="Calibri" w:hAnsi="Calibri"/>
                <w:i/>
                <w:iCs/>
                <w:color w:val="5B4A8A"/>
                <w:sz w:val="17"/>
                <w:szCs w:val="17"/>
              </w:rPr>
              <w:t xml:space="preserve">   z pamięci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Schreibe die drei Lesetechniken untereinander. Ergänze zu jeder: Ich lese so, wenn …</w:t>
            </w:r>
          </w:p>
          <w:p>
            <w:pPr>
              <w:spacing w:after="5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5B4A8A"/>
                <w:sz w:val="17"/>
                <w:szCs w:val="17"/>
              </w:rPr>
              <w:t xml:space="preserve">PL: </w:t>
            </w:r>
            <w:r>
              <w:rPr>
                <w:rFonts w:ascii="Calibri" w:cs="Calibri" w:eastAsia="Calibri" w:hAnsi="Calibri"/>
                <w:i/>
                <w:iCs/>
                <w:color w:val="5B4A8A"/>
                <w:sz w:val="17"/>
                <w:szCs w:val="17"/>
              </w:rPr>
              <w:t xml:space="preserve">Zapisz w zeszycie trzy techniki czytania, jedna pod drugą. Do każdej dopisz zdanie „Ich lese so, wenn …“ (Czytam tak, gdy …). Potem porównaj z sąsiadem i popraw na zielono.</w:t>
            </w:r>
          </w:p>
          <w:p>
            <w:pPr>
              <w:spacing w:after="10" w:before="5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20"/>
                <w:szCs w:val="20"/>
              </w:rPr>
              <w:t xml:space="preserve">2  Welche Lesetechnik passt? Begründe mit „weil“.</w:t>
            </w:r>
            <w:r>
              <w:rPr>
                <w:rFonts w:ascii="Calibri" w:cs="Calibri" w:eastAsia="Calibri" w:hAnsi="Calibri"/>
                <w:i/>
                <w:iCs/>
                <w:color w:val="5B4A8A"/>
                <w:sz w:val="17"/>
                <w:szCs w:val="17"/>
              </w:rPr>
              <w:t xml:space="preserve">   która technika pasuje? Uzasadnij</w:t>
            </w:r>
          </w:p>
          <w:p>
            <w:pPr>
              <w:spacing w:after="2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5B4A8A"/>
                <w:sz w:val="17"/>
                <w:szCs w:val="17"/>
              </w:rPr>
              <w:t xml:space="preserve">PL: </w:t>
            </w:r>
            <w:r>
              <w:rPr>
                <w:rFonts w:ascii="Calibri" w:cs="Calibri" w:eastAsia="Calibri" w:hAnsi="Calibri"/>
                <w:i/>
                <w:iCs/>
                <w:color w:val="5B4A8A"/>
                <w:sz w:val="17"/>
                <w:szCs w:val="17"/>
              </w:rPr>
              <w:t xml:space="preserve">Zadanie A–D jest na tablicy. Zapisz literę, technikę i uzasadnienie. Uwaga: w zdaniu z „weil“ czasownik stoi na końcu, np. „…, weil ich nur eine Uhrzeit suche.“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5B4A8A"/>
                <w:sz w:val="17"/>
                <w:szCs w:val="17"/>
              </w:rPr>
              <w:t xml:space="preserve">PL: </w:t>
            </w:r>
            <w:r>
              <w:rPr>
                <w:rFonts w:ascii="Calibri" w:cs="Calibri" w:eastAsia="Calibri" w:hAnsi="Calibri"/>
                <w:i/>
                <w:iCs/>
                <w:color w:val="5B4A8A"/>
                <w:sz w:val="17"/>
                <w:szCs w:val="17"/>
              </w:rPr>
              <w:t xml:space="preserve">A – sprawdzasz w planie treningów, o której w środę zaczyna się trening.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5B4A8A"/>
                <w:sz w:val="17"/>
                <w:szCs w:val="17"/>
              </w:rPr>
              <w:t xml:space="preserve">PL: </w:t>
            </w:r>
            <w:r>
              <w:rPr>
                <w:rFonts w:ascii="Calibri" w:cs="Calibri" w:eastAsia="Calibri" w:hAnsi="Calibri"/>
                <w:i/>
                <w:iCs/>
                <w:color w:val="5B4A8A"/>
                <w:sz w:val="17"/>
                <w:szCs w:val="17"/>
              </w:rPr>
              <w:t xml:space="preserve">B – przeglądasz gazetę sportową i chcesz wiedzieć, czy jakiś artykuł cię interesuje.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5B4A8A"/>
                <w:sz w:val="17"/>
                <w:szCs w:val="17"/>
              </w:rPr>
              <w:t xml:space="preserve">PL: </w:t>
            </w:r>
            <w:r>
              <w:rPr>
                <w:rFonts w:ascii="Calibri" w:cs="Calibri" w:eastAsia="Calibri" w:hAnsi="Calibri"/>
                <w:i/>
                <w:iCs/>
                <w:color w:val="5B4A8A"/>
                <w:sz w:val="17"/>
                <w:szCs w:val="17"/>
              </w:rPr>
              <w:t xml:space="preserve">C – przed zawodami czytasz nowe przepisy, żeby nie zostać zdyskwalifikowaną.</w:t>
            </w:r>
          </w:p>
          <w:p>
            <w:pPr>
              <w:spacing w:after="4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5B4A8A"/>
                <w:sz w:val="17"/>
                <w:szCs w:val="17"/>
              </w:rPr>
              <w:t xml:space="preserve">PL: </w:t>
            </w:r>
            <w:r>
              <w:rPr>
                <w:rFonts w:ascii="Calibri" w:cs="Calibri" w:eastAsia="Calibri" w:hAnsi="Calibri"/>
                <w:i/>
                <w:iCs/>
                <w:color w:val="5B4A8A"/>
                <w:sz w:val="17"/>
                <w:szCs w:val="17"/>
              </w:rPr>
              <w:t xml:space="preserve">D – masz wyjaśnić, dlaczego Szkot w „Paddy Fingal“ na końcu ucieka.</w:t>
            </w:r>
          </w:p>
          <w:p>
            <w:pPr>
              <w:spacing w:after="10" w:before="5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20"/>
                <w:szCs w:val="20"/>
              </w:rPr>
              <w:t xml:space="preserve">* E  Paddy Fingal überfliegen (1 Min.)</w:t>
            </w:r>
            <w:r>
              <w:rPr>
                <w:rFonts w:ascii="Calibri" w:cs="Calibri" w:eastAsia="Calibri" w:hAnsi="Calibri"/>
                <w:i/>
                <w:iCs/>
                <w:color w:val="5B4A8A"/>
                <w:sz w:val="17"/>
                <w:szCs w:val="17"/>
              </w:rPr>
              <w:t xml:space="preserve">   przejrzyj balladę</w:t>
            </w:r>
          </w:p>
          <w:p>
            <w:pPr>
              <w:spacing w:after="5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5B4A8A"/>
                <w:sz w:val="17"/>
                <w:szCs w:val="17"/>
              </w:rPr>
              <w:t xml:space="preserve">PL: </w:t>
            </w:r>
            <w:r>
              <w:rPr>
                <w:rFonts w:ascii="Calibri" w:cs="Calibri" w:eastAsia="Calibri" w:hAnsi="Calibri"/>
                <w:i/>
                <w:iCs/>
                <w:color w:val="5B4A8A"/>
                <w:sz w:val="17"/>
                <w:szCs w:val="17"/>
              </w:rPr>
              <w:t xml:space="preserve">Przejrzyj balladę w podręczniku (s. 136) przez 1 minutę. Napisz: „In der Ballade geht es um …“ (Ballada opowiada o …).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Zum Schluss: 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Heute habe ich gelernt, …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5B4A8A"/>
                <w:sz w:val="17"/>
                <w:szCs w:val="17"/>
              </w:rPr>
              <w:t xml:space="preserve">PL: </w:t>
            </w:r>
            <w:r>
              <w:rPr>
                <w:rFonts w:ascii="Calibri" w:cs="Calibri" w:eastAsia="Calibri" w:hAnsi="Calibri"/>
                <w:i/>
                <w:iCs/>
                <w:color w:val="5B4A8A"/>
                <w:sz w:val="17"/>
                <w:szCs w:val="17"/>
              </w:rPr>
              <w:t xml:space="preserve">Na koniec zapisz w zeszycie: „Heute habe ich gelernt, …“ (Dziś nauczyłam się, …).</w:t>
            </w:r>
          </w:p>
        </w:tc>
      </w:tr>
    </w:tbl>
    <w:sectPr>
      <w:pgSz w:w="11906" w:h="16838" w:orient="portrait"/>
      <w:pgMar w:top="450" w:right="450" w:bottom="300" w:left="45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defaultTabStop w:val="720"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19"/>
        <w:szCs w:val="19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after="200"/>
    </w:pPr>
    <w:rPr>
      <w:i/>
      <w:iCs/>
      <w:color w:val="44546A" w:themeColor="dark2"/>
      <w:sz w:val="18"/>
      <w:szCs w:val="18"/>
    </w:rPr>
  </w:style>
  <w:style w:type="paragraph" w:styleId="Bibliography">
    <w:name w:val="Bibliography"/>
    <w:basedOn w:val="Normal"/>
    <w:next w:val="Normal"/>
    <w:uiPriority w:val="37"/>
    <w:unhideWhenUsed/>
  </w:style>
  <w:style w:type="paragraph" w:styleId="TOC1">
    <w:name w:val="toc 1"/>
    <w:basedOn w:val="Normal"/>
    <w:next w:val="Normal"/>
    <w:uiPriority w:val="39"/>
    <w:semiHidden/>
    <w:unhideWhenUsed/>
    <w:pPr>
      <w:spacing w:after="100"/>
    </w:pPr>
  </w:style>
  <w:style w:type="paragraph" w:styleId="TOC2">
    <w:name w:val="toc 2"/>
    <w:basedOn w:val="Normal"/>
    <w:next w:val="Normal"/>
    <w:uiPriority w:val="39"/>
    <w:semiHidden/>
    <w:unhideWhenUsed/>
    <w:pPr>
      <w:spacing w:after="100"/>
      <w:ind w:left="190"/>
    </w:pPr>
  </w:style>
  <w:style w:type="paragraph" w:styleId="TOC3">
    <w:name w:val="toc 3"/>
    <w:basedOn w:val="Normal"/>
    <w:next w:val="Normal"/>
    <w:uiPriority w:val="39"/>
    <w:semiHidden/>
    <w:unhideWhenUsed/>
    <w:pPr>
      <w:spacing w:after="100"/>
      <w:ind w:left="380"/>
    </w:pPr>
  </w:style>
  <w:style w:type="paragraph" w:styleId="TOC4">
    <w:name w:val="toc 4"/>
    <w:basedOn w:val="Normal"/>
    <w:next w:val="Normal"/>
    <w:uiPriority w:val="39"/>
    <w:semiHidden/>
    <w:unhideWhenUsed/>
    <w:pPr>
      <w:spacing w:after="100"/>
      <w:ind w:left="570"/>
    </w:pPr>
  </w:style>
  <w:style w:type="paragraph" w:styleId="TOC5">
    <w:name w:val="toc 5"/>
    <w:basedOn w:val="Normal"/>
    <w:next w:val="Normal"/>
    <w:uiPriority w:val="39"/>
    <w:semiHidden/>
    <w:unhideWhenUsed/>
    <w:pPr>
      <w:spacing w:after="100"/>
      <w:ind w:left="760"/>
    </w:pPr>
  </w:style>
  <w:style w:type="paragraph" w:styleId="TOC6">
    <w:name w:val="toc 6"/>
    <w:basedOn w:val="Normal"/>
    <w:next w:val="Normal"/>
    <w:uiPriority w:val="39"/>
    <w:semiHidden/>
    <w:unhideWhenUsed/>
    <w:pPr>
      <w:spacing w:after="100"/>
      <w:ind w:left="950"/>
    </w:pPr>
  </w:style>
  <w:style w:type="paragraph" w:styleId="TOC7">
    <w:name w:val="toc 7"/>
    <w:basedOn w:val="Normal"/>
    <w:next w:val="Normal"/>
    <w:uiPriority w:val="39"/>
    <w:semiHidden/>
    <w:unhideWhenUsed/>
    <w:pPr>
      <w:spacing w:after="100"/>
      <w:ind w:left="1140"/>
    </w:pPr>
  </w:style>
  <w:style w:type="paragraph" w:styleId="TOC8">
    <w:name w:val="toc 8"/>
    <w:basedOn w:val="Normal"/>
    <w:next w:val="Normal"/>
    <w:uiPriority w:val="39"/>
    <w:semiHidden/>
    <w:unhideWhenUsed/>
    <w:pPr>
      <w:spacing w:after="100"/>
      <w:ind w:left="1330"/>
    </w:pPr>
  </w:style>
  <w:style w:type="paragraph" w:styleId="TOC9">
    <w:name w:val="toc 9"/>
    <w:basedOn w:val="Normal"/>
    <w:next w:val="Normal"/>
    <w:uiPriority w:val="39"/>
    <w:semiHidden/>
    <w:unhideWhenUsed/>
    <w:pPr>
      <w:spacing w:after="100"/>
      <w:ind w:left="1520"/>
    </w:pPr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character" w:styleId="LineNumber">
    <w:name w:val="line number"/>
    <w:basedOn w:val="DefaultParagraphFont"/>
    <w:uiPriority w:val="99"/>
    <w:semiHidden/>
    <w:unhideWhenUsed/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2026-10-31T10:20:06.620Z</dcterms:created>
  <dcterms:modified xsi:type="dcterms:W3CDTF">2026-10-31T10:20:06.621Z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