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AD4426"/>
          <w:sz w:val="18"/>
          <w:szCs w:val="18"/>
        </w:rPr>
        <w:t xml:space="preserve">GESCHICHTE · KLASSE 11 · FÜR DEN HEFTER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2B2318"/>
          <w:sz w:val="40"/>
          <w:szCs w:val="40"/>
        </w:rPr>
        <w:t xml:space="preserve">So interpretierst du eine Textquelle</w:t>
      </w:r>
    </w:p>
    <w:p>
      <w:pPr>
        <w:spacing w:after="120" w:before="0"/>
      </w:pPr>
      <w:r>
        <w:rPr>
          <w:rFonts w:ascii="Calibri" w:cs="Calibri" w:eastAsia="Calibri" w:hAnsi="Calibri"/>
          <w:color w:val="2B2318"/>
          <w:sz w:val="22"/>
          <w:szCs w:val="22"/>
        </w:rPr>
        <w:t xml:space="preserve">Klausur: „Interpretieren Sie die Quelle.“ Gehe immer von oben nach unten vor – </w:t>
      </w:r>
      <w:r>
        <w:rPr>
          <w:rFonts w:ascii="Calibri" w:cs="Calibri" w:eastAsia="Calibri" w:hAnsi="Calibri"/>
          <w:b/>
          <w:bCs/>
          <w:color w:val="2B2318"/>
          <w:sz w:val="22"/>
          <w:szCs w:val="22"/>
        </w:rPr>
        <w:t xml:space="preserve">erst untersuchen, dann urteilen.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056"/>
      </w:tblGrid>
      <w:tr>
        <w:trPr>
          <w:cantSplit/>
        </w:trPr>
        <w:tc>
          <w:tcPr>
            <w:tcW w:type="dxa" w:w="2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2318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8"/>
                <w:szCs w:val="48"/>
              </w:rPr>
              <w:t xml:space="preserve">1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4"/>
                <w:szCs w:val="24"/>
              </w:rPr>
              <w:t xml:space="preserve">Themenfrage</w:t>
            </w:r>
          </w:p>
        </w:tc>
        <w:tc>
          <w:tcPr>
            <w:tcW w:type="dxa" w:w="80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Welche Frage soll die Untersuchung beantworten? Sie steht in der Aufgabe – oder du stellst sie nach dem ersten Lesen selbst auf.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4"/>
                <w:szCs w:val="24"/>
              </w:rPr>
              <w:t xml:space="preserve">✎ „Die Untersuchung geht der Frage nach, ob / wie …“</w:t>
            </w:r>
          </w:p>
        </w:tc>
      </w:tr>
    </w:tbl>
    <w:p>
      <w:pPr>
        <w:spacing w:after="0" w:before="0"/>
        <w:jc w:val="center"/>
      </w:pPr>
      <w:r>
        <w:rPr>
          <w:rFonts w:ascii="Calibri" w:cs="Calibri" w:eastAsia="Calibri" w:hAnsi="Calibri"/>
          <w:color w:val="D9A441"/>
          <w:sz w:val="22"/>
          <w:szCs w:val="22"/>
        </w:rPr>
        <w:t xml:space="preserve">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056"/>
      </w:tblGrid>
      <w:tr>
        <w:trPr>
          <w:cantSplit/>
        </w:trPr>
        <w:tc>
          <w:tcPr>
            <w:tcW w:type="dxa" w:w="2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D4426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8"/>
                <w:szCs w:val="48"/>
              </w:rPr>
              <w:t xml:space="preserve">2a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4"/>
                <w:szCs w:val="24"/>
              </w:rPr>
              <w:t xml:space="preserve">Analyse: formal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18"/>
                <w:szCs w:val="18"/>
              </w:rPr>
              <w:t xml:space="preserve">Wer? Was? Wann?</w:t>
            </w:r>
          </w:p>
        </w:tc>
        <w:tc>
          <w:tcPr>
            <w:tcW w:type="dxa" w:w="80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top"/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TATTEA-Formel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– damit beginnt jede Interpretation:</w:t>
            </w:r>
          </w:p>
          <w:tbl>
            <w:tblPr>
              <w:tblW w:type="dxa" w:w="78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02"/>
              <w:gridCol w:w="1302"/>
              <w:gridCol w:w="1302"/>
              <w:gridCol w:w="1302"/>
              <w:gridCol w:w="1302"/>
              <w:gridCol w:w="1302"/>
            </w:tblGrid>
            <w:tr>
              <w:tc>
                <w:tcPr>
                  <w:tcW w:type="dxa" w:w="1302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6"/>
                      <w:szCs w:val="46"/>
                    </w:rPr>
                    <w:t xml:space="preserve">T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9"/>
                      <w:szCs w:val="19"/>
                    </w:rPr>
                    <w:t xml:space="preserve">Titel</w:t>
                  </w:r>
                </w:p>
              </w:tc>
              <w:tc>
                <w:tcPr>
                  <w:tcW w:type="dxa" w:w="1302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6"/>
                      <w:szCs w:val="46"/>
                    </w:rPr>
                    <w:t xml:space="preserve">A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9"/>
                      <w:szCs w:val="19"/>
                    </w:rPr>
                    <w:t xml:space="preserve">Autor</w:t>
                  </w:r>
                </w:p>
              </w:tc>
              <w:tc>
                <w:tcPr>
                  <w:tcW w:type="dxa" w:w="1302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6"/>
                      <w:szCs w:val="46"/>
                    </w:rPr>
                    <w:t xml:space="preserve">T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9"/>
                      <w:szCs w:val="19"/>
                    </w:rPr>
                    <w:t xml:space="preserve">Textsorte</w:t>
                  </w:r>
                </w:p>
              </w:tc>
              <w:tc>
                <w:tcPr>
                  <w:tcW w:type="dxa" w:w="1302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6"/>
                      <w:szCs w:val="46"/>
                    </w:rPr>
                    <w:t xml:space="preserve">T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9"/>
                      <w:szCs w:val="19"/>
                    </w:rPr>
                    <w:t xml:space="preserve">Thema</w:t>
                  </w:r>
                </w:p>
              </w:tc>
              <w:tc>
                <w:tcPr>
                  <w:tcW w:type="dxa" w:w="1302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6"/>
                      <w:szCs w:val="46"/>
                    </w:rPr>
                    <w:t xml:space="preserve">E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9"/>
                      <w:szCs w:val="19"/>
                    </w:rPr>
                    <w:t xml:space="preserve">Entstehungs-zeit und -ort</w:t>
                  </w:r>
                </w:p>
              </w:tc>
              <w:tc>
                <w:tcPr>
                  <w:tcW w:type="dxa" w:w="1302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6"/>
                      <w:szCs w:val="46"/>
                    </w:rPr>
                    <w:t xml:space="preserve">A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9"/>
                      <w:szCs w:val="19"/>
                    </w:rPr>
                    <w:t xml:space="preserve">Adressat</w:t>
                  </w:r>
                </w:p>
              </w:tc>
            </w:tr>
          </w:tbl>
          <w:p>
            <w:pPr>
              <w:spacing w:after="10" w:before="70"/>
            </w:pPr>
            <w:r>
              <w:rPr>
                <w:rFonts w:ascii="Calibri" w:cs="Calibri" w:eastAsia="Calibri" w:hAnsi="Calibri"/>
                <w:b/>
                <w:bCs/>
                <w:color w:val="5A5044"/>
                <w:sz w:val="18"/>
                <w:szCs w:val="18"/>
              </w:rPr>
              <w:t xml:space="preserve">Beispiel: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„Bei der Quelle handelt es sich um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ein Gedicht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6"/>
                <w:szCs w:val="16"/>
              </w:rPr>
              <w:t xml:space="preserve"> [Textsorte]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 ohne Titel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6"/>
                <w:szCs w:val="16"/>
              </w:rPr>
              <w:t xml:space="preserve">[Titel]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 des Gesetzgebers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Solon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6"/>
                <w:szCs w:val="16"/>
              </w:rPr>
              <w:t xml:space="preserve"> [Autor]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, das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um 590 v. Chr. in Athen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6"/>
                <w:szCs w:val="16"/>
              </w:rPr>
              <w:t xml:space="preserve"> [Entstehung]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 entstand. Er wendet sich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an die Athener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6"/>
                <w:szCs w:val="16"/>
              </w:rPr>
              <w:t xml:space="preserve"> [Adressat]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 und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rechtfertigt seine Reformen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6"/>
                <w:szCs w:val="16"/>
              </w:rPr>
              <w:t xml:space="preserve"> [Thema]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4"/>
                <w:szCs w:val="24"/>
              </w:rPr>
              <w:t xml:space="preserve">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5044"/>
                <w:sz w:val="18"/>
                <w:szCs w:val="18"/>
              </w:rPr>
              <w:t xml:space="preserve">Kein Titel? Dann die Überschrift im Buch oder Material nennen.</w:t>
            </w:r>
          </w:p>
        </w:tc>
      </w:tr>
    </w:tbl>
    <w:p>
      <w:pPr>
        <w:spacing w:after="0" w:before="0"/>
        <w:jc w:val="center"/>
      </w:pPr>
      <w:r>
        <w:rPr>
          <w:rFonts w:ascii="Calibri" w:cs="Calibri" w:eastAsia="Calibri" w:hAnsi="Calibri"/>
          <w:color w:val="D9A441"/>
          <w:sz w:val="22"/>
          <w:szCs w:val="22"/>
        </w:rPr>
        <w:t xml:space="preserve">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056"/>
      </w:tblGrid>
      <w:tr>
        <w:trPr>
          <w:cantSplit/>
        </w:trPr>
        <w:tc>
          <w:tcPr>
            <w:tcW w:type="dxa" w:w="2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D4426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8"/>
                <w:szCs w:val="48"/>
              </w:rPr>
              <w:t xml:space="preserve">2b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4"/>
                <w:szCs w:val="24"/>
              </w:rPr>
              <w:t xml:space="preserve">Analyse: inhaltlich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18"/>
                <w:szCs w:val="18"/>
              </w:rPr>
              <w:t xml:space="preserve">Was steht drin?</w:t>
            </w:r>
          </w:p>
        </w:tc>
        <w:tc>
          <w:tcPr>
            <w:tcW w:type="dxa" w:w="80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Wesentliche Aussagen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je Sinnabschnitt – eigene Worte, indirekte Rede, Zeilen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Schlüsselbegriffe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Textsprache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(sachlich, emotional, appellativ, argumentativ …)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4"/>
                <w:szCs w:val="24"/>
              </w:rPr>
              <w:t xml:space="preserve">✎ „Zunächst berichtet der Autor, … habe … (Z. …). Anschließend betont er, dass …“</w:t>
            </w:r>
          </w:p>
        </w:tc>
      </w:tr>
    </w:tbl>
    <w:p>
      <w:pPr>
        <w:spacing w:after="0" w:before="0"/>
        <w:jc w:val="center"/>
      </w:pPr>
      <w:r>
        <w:rPr>
          <w:rFonts w:ascii="Calibri" w:cs="Calibri" w:eastAsia="Calibri" w:hAnsi="Calibri"/>
          <w:color w:val="D9A441"/>
          <w:sz w:val="22"/>
          <w:szCs w:val="22"/>
        </w:rPr>
        <w:t xml:space="preserve">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056"/>
      </w:tblGrid>
      <w:tr>
        <w:trPr>
          <w:cantSplit/>
        </w:trPr>
        <w:tc>
          <w:tcPr>
            <w:tcW w:type="dxa" w:w="2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5C76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8"/>
                <w:szCs w:val="48"/>
              </w:rPr>
              <w:t xml:space="preserve">3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4"/>
                <w:szCs w:val="24"/>
              </w:rPr>
              <w:t xml:space="preserve">Historischer Kontext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18"/>
                <w:szCs w:val="18"/>
              </w:rPr>
              <w:t xml:space="preserve">Was geschah damals?</w:t>
            </w:r>
          </w:p>
        </w:tc>
        <w:tc>
          <w:tcPr>
            <w:tcW w:type="dxa" w:w="80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In welches Ereignis, welche Epoche, welchen Konflikt gehört die Quelle? Was geschah vorher, was danach?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4"/>
                <w:szCs w:val="24"/>
              </w:rPr>
              <w:t xml:space="preserve">✎ „Die Quelle bezieht sich auf …, nachdem …“</w:t>
            </w:r>
          </w:p>
        </w:tc>
      </w:tr>
    </w:tbl>
    <w:p>
      <w:pPr>
        <w:spacing w:after="0" w:before="0"/>
        <w:jc w:val="center"/>
      </w:pPr>
      <w:r>
        <w:rPr>
          <w:rFonts w:ascii="Calibri" w:cs="Calibri" w:eastAsia="Calibri" w:hAnsi="Calibri"/>
          <w:color w:val="D9A441"/>
          <w:sz w:val="22"/>
          <w:szCs w:val="22"/>
        </w:rPr>
        <w:t xml:space="preserve">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4028"/>
        <w:gridCol w:w="4028"/>
      </w:tblGrid>
      <w:tr>
        <w:trPr>
          <w:cantSplit/>
        </w:trPr>
        <w:tc>
          <w:tcPr>
            <w:tcW w:type="dxa" w:w="2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C783C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8"/>
                <w:szCs w:val="48"/>
              </w:rPr>
              <w:t xml:space="preserve">4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4"/>
                <w:szCs w:val="24"/>
              </w:rPr>
              <w:t xml:space="preserve">Urteilen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18"/>
                <w:szCs w:val="18"/>
              </w:rPr>
              <w:t xml:space="preserve">erst Sach-, dann Werturteil</w:t>
            </w:r>
          </w:p>
        </w:tc>
        <w:tc>
          <w:tcPr>
            <w:tcW w:type="dxa" w:w="4028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BF8F2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C783C"/>
                <w:sz w:val="24"/>
                <w:szCs w:val="24"/>
              </w:rPr>
              <w:t xml:space="preserve">a) Sachurteil</w:t>
            </w:r>
            <w:r>
              <w:rPr>
                <w:rFonts w:ascii="Calibri" w:cs="Calibri" w:eastAsia="Calibri" w:hAnsi="Calibri"/>
                <w:color w:val="3C783C"/>
                <w:sz w:val="24"/>
                <w:szCs w:val="24"/>
              </w:rPr>
              <w:t xml:space="preserve"> – aus damaliger Sicht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Standpunkt und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Absicht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des Autors?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Wirkung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auf die Adressaten?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Glaubwürdig?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Widersprüche?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4"/>
                <w:szCs w:val="24"/>
              </w:rPr>
              <w:t xml:space="preserve">✎ „Der Autor verfolgt die Absicht, …“</w:t>
            </w:r>
          </w:p>
        </w:tc>
        <w:tc>
          <w:tcPr>
            <w:tcW w:type="dxa" w:w="40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C783C"/>
                <w:sz w:val="24"/>
                <w:szCs w:val="24"/>
              </w:rPr>
              <w:t xml:space="preserve">b) Werturteil</w:t>
            </w:r>
            <w:r>
              <w:rPr>
                <w:rFonts w:ascii="Calibri" w:cs="Calibri" w:eastAsia="Calibri" w:hAnsi="Calibri"/>
                <w:color w:val="3C783C"/>
                <w:sz w:val="24"/>
                <w:szCs w:val="24"/>
              </w:rPr>
              <w:t xml:space="preserve"> – aus heutiger Sicht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Wie bewerte ich die Quelle im Hinblick auf die Themenfrage?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Maßstab offenlegen: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Gleichheit, Leistung, Schutz der Schwachen, gleiche Regeln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4"/>
                <w:szCs w:val="24"/>
              </w:rPr>
              <w:t xml:space="preserve">✎ „Gemessen an … halte ich … für …, weil …“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2B2318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A441"/>
                <w:sz w:val="24"/>
                <w:szCs w:val="24"/>
              </w:rPr>
              <w:t xml:space="preserve">⚠ Typische Fehler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Meinung zu früh – sie gehört erst in Schritt 4.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Nacherzählen statt Wesentliches mit Zeilen.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„Augenzeuge“? Lebensdaten mit dem Ereignis vergleichen.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CDE" w:color="auto" w:val="clear"/>
            <w:tcMar>
              <w:top w:type="dxa" w:w="130"/>
              <w:left w:type="dxa" w:w="120"/>
              <w:bottom w:type="dxa" w:w="13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21"/>
                <w:szCs w:val="21"/>
              </w:rPr>
              <w:t xml:space="preserve">Operatoren:</w:t>
            </w:r>
            <w:r>
              <w:rPr>
                <w:rFonts w:ascii="Calibri" w:cs="Calibri" w:eastAsia="Calibri" w:hAnsi="Calibri"/>
                <w:color w:val="2B2318"/>
                <w:sz w:val="21"/>
                <w:szCs w:val="21"/>
              </w:rPr>
              <w:t xml:space="preserve"> analysieren (2) · einordnen, erläutern (3) ·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1"/>
                <w:szCs w:val="21"/>
              </w:rPr>
              <w:t xml:space="preserve">beurteilen</w:t>
            </w:r>
            <w:r>
              <w:rPr>
                <w:rFonts w:ascii="Calibri" w:cs="Calibri" w:eastAsia="Calibri" w:hAnsi="Calibri"/>
                <w:color w:val="2B2318"/>
                <w:sz w:val="21"/>
                <w:szCs w:val="21"/>
              </w:rPr>
              <w:t xml:space="preserve"> = Sachurteil ·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1"/>
                <w:szCs w:val="21"/>
              </w:rPr>
              <w:t xml:space="preserve">bewerten</w:t>
            </w:r>
            <w:r>
              <w:rPr>
                <w:rFonts w:ascii="Calibri" w:cs="Calibri" w:eastAsia="Calibri" w:hAnsi="Calibri"/>
                <w:color w:val="2B2318"/>
                <w:sz w:val="21"/>
                <w:szCs w:val="21"/>
              </w:rPr>
              <w:t xml:space="preserve">, Stellung nehmen = Werturteil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21"/>
                <w:szCs w:val="21"/>
              </w:rPr>
              <w:t xml:space="preserve">Bildquelle:</w:t>
            </w:r>
            <w:r>
              <w:rPr>
                <w:rFonts w:ascii="Calibri" w:cs="Calibri" w:eastAsia="Calibri" w:hAnsi="Calibri"/>
                <w:color w:val="2B2318"/>
                <w:sz w:val="21"/>
                <w:szCs w:val="21"/>
              </w:rPr>
              <w:t xml:space="preserve"> gleiche Schritte; in 2b die Gestaltungsmittel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1"/>
                <w:szCs w:val="21"/>
              </w:rPr>
              <w:t xml:space="preserve">beschreiben</w:t>
            </w:r>
            <w:r>
              <w:rPr>
                <w:rFonts w:ascii="Calibri" w:cs="Calibri" w:eastAsia="Calibri" w:hAnsi="Calibri"/>
                <w:color w:val="2B2318"/>
                <w:sz w:val="21"/>
                <w:szCs w:val="21"/>
              </w:rPr>
              <w:t xml:space="preserve"> (Figuren, Symbole, Farben, Perspektive …) und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1"/>
                <w:szCs w:val="21"/>
              </w:rPr>
              <w:t xml:space="preserve">deuten</w:t>
            </w:r>
            <w:r>
              <w:rPr>
                <w:rFonts w:ascii="Calibri" w:cs="Calibri" w:eastAsia="Calibri" w:hAnsi="Calibri"/>
                <w:color w:val="2B2318"/>
                <w:sz w:val="21"/>
                <w:szCs w:val="21"/>
              </w:rPr>
              <w:t xml:space="preserve">: Was ist die Botschaft?</w:t>
            </w:r>
          </w:p>
        </w:tc>
      </w:tr>
    </w:tbl>
    <w:sectPr>
      <w:pgSz w:w="11906" w:h="16838" w:orient="portrait"/>
      <w:pgMar w:top="640" w:right="850" w:bottom="5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318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2026-10-29T16:22:26.497Z</dcterms:created>
  <dcterms:modified xsi:type="dcterms:W3CDTF">2026-10-29T16:22:26.497Z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