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Cambria" w:cs="Cambria" w:eastAsia="Cambria" w:hAnsi="Cambria"/>
          <w:b/>
          <w:bCs/>
          <w:color w:val="1E2761"/>
          <w:sz w:val="30"/>
          <w:szCs w:val="30"/>
        </w:rPr>
        <w:t xml:space="preserve">Vokabelliste Deutsch 7A</w:t>
      </w:r>
      <w:r>
        <w:rPr>
          <w:rFonts w:ascii="Cambria" w:cs="Cambria" w:eastAsia="Cambria" w:hAnsi="Cambria"/>
          <w:i/>
          <w:iCs/>
          <w:color w:val="5B6B8C"/>
          <w:sz w:val="24"/>
          <w:szCs w:val="24"/>
        </w:rPr>
        <w:t xml:space="preserve">   Słowniczek: niemiecki – polski</w:t>
      </w:r>
    </w:p>
    <w:p>
      <w:pPr>
        <w:spacing w:after="40" w:before="0"/>
      </w:pPr>
      <w:r>
        <w:rPr>
          <w:rFonts w:ascii="Calibri" w:cs="Calibri" w:eastAsia="Calibri" w:hAnsi="Calibri"/>
          <w:color w:val="000000"/>
          <w:sz w:val="18"/>
          <w:szCs w:val="18"/>
        </w:rPr>
        <w:t xml:space="preserve">Tu są ważne słowa z naszych lekcji: na lekcji, polecenia, czasowniki i czasy, budowa zdania, ballady. Po lewej słowo niemieckie (z rodzajnikiem i liczbą mnogą), w środku po polsku, po prawej przykład. </w:t>
      </w:r>
      <w:r>
        <w:rPr>
          <w:rFonts w:ascii="Calibri" w:cs="Calibri" w:eastAsia="Calibri" w:hAnsi="Calibri"/>
          <w:i/>
          <w:iCs/>
          <w:color w:val="000000"/>
          <w:sz w:val="18"/>
          <w:szCs w:val="18"/>
        </w:rPr>
        <w:t xml:space="preserve">Wskazówka: zakryj kolumnę „Polski“ i sprawdź, czy pamiętasz znaczenie. Ucz się codziennie kilku słów.</w:t>
      </w:r>
    </w:p>
    <w:p>
      <w:pPr>
        <w:spacing w:after="100" w:before="0"/>
      </w:pPr>
      <w:r>
        <w:rPr>
          <w:rFonts w:ascii="Calibri" w:cs="Calibri" w:eastAsia="Calibri" w:hAnsi="Calibri"/>
          <w:b/>
          <w:bCs/>
          <w:color w:val="000000"/>
          <w:sz w:val="18"/>
          <w:szCs w:val="18"/>
        </w:rPr>
        <w:t xml:space="preserve">Kolory: </w:t>
      </w:r>
      <w:r>
        <w:rPr>
          <w:rFonts w:ascii="Calibri" w:cs="Calibri" w:eastAsia="Calibri" w:hAnsi="Calibri"/>
          <w:b/>
          <w:bCs/>
          <w:color w:val="D9534F"/>
          <w:sz w:val="18"/>
          <w:szCs w:val="18"/>
        </w:rPr>
        <w:t xml:space="preserve">czasownik posiłkowy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C98A1E"/>
          <w:sz w:val="18"/>
          <w:szCs w:val="18"/>
        </w:rPr>
        <w:t xml:space="preserve">Partizip II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3F7CC4"/>
          <w:sz w:val="18"/>
          <w:szCs w:val="18"/>
        </w:rPr>
        <w:t xml:space="preserve">bezokolicznik</w:t>
      </w:r>
      <w:r>
        <w:rPr>
          <w:rFonts w:ascii="Calibri" w:cs="Calibri" w:eastAsia="Calibri" w:hAnsi="Calibri"/>
          <w:color w:val="000000"/>
          <w:sz w:val="18"/>
          <w:szCs w:val="18"/>
        </w:rPr>
        <w:t xml:space="preserve"> · </w:t>
      </w:r>
      <w:r>
        <w:rPr>
          <w:rFonts w:ascii="Calibri" w:cs="Calibri" w:eastAsia="Calibri" w:hAnsi="Calibri"/>
          <w:b/>
          <w:bCs/>
          <w:color w:val="2E9E6B"/>
          <w:sz w:val="18"/>
          <w:szCs w:val="18"/>
        </w:rPr>
        <w:t xml:space="preserve">czasownik modalny</w:t>
      </w:r>
    </w:p>
    <w:tbl>
      <w:tblPr>
        <w:tblW w:type="dxa" w:w="108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50"/>
        <w:gridCol w:w="3350"/>
        <w:gridCol w:w="4406"/>
      </w:tblGrid>
      <w:tr>
        <w:trPr>
          <w:cantSplit/>
        </w:trPr>
        <w:tc>
          <w:tcPr>
            <w:tcW w:type="dxa" w:w="30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Deutsch</w:t>
            </w:r>
          </w:p>
        </w:tc>
        <w:tc>
          <w:tcPr>
            <w:tcW w:type="dxa" w:w="3350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Polski</w:t>
            </w:r>
          </w:p>
        </w:tc>
        <w:tc>
          <w:tcPr>
            <w:tcW w:type="dxa" w:w="4406"/>
            <w:tcBorders>
              <w:top w:val="single" w:color="B9C6E8" w:sz="6"/>
              <w:left w:val="single" w:color="B9C6E8" w:sz="6"/>
              <w:bottom w:val="single" w:color="B9C6E8" w:sz="6"/>
              <w:right w:val="single" w:color="B9C6E8" w:sz="6"/>
            </w:tcBorders>
            <w:shd w:fill="1E2761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Beispiel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1E2761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1  Im Unterricht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na lekcji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Heft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Hefte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zeszyt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Tafel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Tafeln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tablica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Wer drankommt, schreibt an die Tafel.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Lehrbuch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Lehrbücher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podręcznik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Lehrbuch S. 136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Überschrift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Überschriften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tytuł, nagłówek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Lernziel · der Ablauf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cel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przebieg (plan)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Ziel: Ich kann Reime bestimmen.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Merksatz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Merksätze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reguła do zapamiętania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Schnipsel · einkleben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Schnipsel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karteczka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wkleić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Klebt den Schnipsel ins Heft.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Aufgabe · die Übung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Aufgaben · die Übungen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ćwiczenie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Ü1, LB-Aufgabe 1 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Lösung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Lösungen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rozwiązanie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Fehler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Fehler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błąd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Sucht einen Fehler.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Leistungskontrolle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Leistungskontrollen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sprawdzian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Note · die Mitarbeit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ocena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aktywność na lekcji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mündliche Note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sich melden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zgłaszać się (podnieść rękę)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melde mich.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allein · zu zweit · im Tandem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samodzielnie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parach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parze (czytanie)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Jetzt arbeitet ihr allein.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2  Arbeitsaufträge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polecenia w zadaniach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lesen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Lies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Przeczytaj …!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Lies Strophe 1.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abschreiben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Schreibe ab!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Schreibt die Überschrift ab.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nennen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Nenne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wymienić, podać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(krótko)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Nenne die Figuren.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beschreiben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Beschreibe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Beschreibe, wie Paddy aussieht.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erklären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Erkläre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wyjaśnić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Erkläre die List von Schaya.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begründen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Begründe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uzasadnić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(dlaczego? „…, weil …“)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lese genau, weil ich etwas erklären soll.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belegen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Belege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udowodnić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(podać strofę lub cytat)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Belege mit der Strophe: (Str. 4)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bestimmen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Bestimme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Bestimme Person, Numerus und Tempus.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bilden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Bilde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utworzyć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Bilde das Perfekt von „laufen“.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einsetzen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Setze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wstawić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Setze das richtige Hilfsverb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ergänzen · eintragen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Ergänze! · Trage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uzupełnić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wpisać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Ergänze die Tabelle.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markieren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Markiere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(kolorem)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Markiere das Hilfsverb rot.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unterstreichen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Unterstreiche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podkreślić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Unterstreiche das Partizip II.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ankreuzen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Kreuze an!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zaznaczyć krzyżykiem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ordnen · zuordnen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Ordne … zu!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przyporządkować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Ordne die Sätze dem Zeitstrahl zu.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Aussage prüfen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Aussagen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 stwierdzenie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czy jest prawdziwe?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Prüfe die Aussage.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richtig · falsch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prawdziwy, poprawny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fałszywy, błędny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☐ richtig  ☐ falsch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Zitat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Zitate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cytat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dokładne słowa z tekstu w cudzysłowie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„fast wär ertrunken der gute Held“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verbinden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Verbinde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połączyć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Verbinde die Sätze mit „weil“.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einkreisen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Kreise … ein!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zakreślić (kółkiem)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Kreise die Subjunktion ein.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vergleichen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Vergleiche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porównać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Vergleicht mit eurem Nachbarn.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prüfen · verbessern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Prüfe! · Verbessere!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sprawdzić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poprawić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Verbessere mit Grün.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notieren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Notiere …!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zanotować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Notiere die Strophe.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nacherzählen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Erzähle nach!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opowiedzieć własnymi słowami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Erzählt die Ballade nach.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zuerst · dann · schließlich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daraufhin · am Ende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najpierw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potem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 końcu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(do łączenia zdań)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Zuerst …, dann …, schließlich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Fertig? Stift hinlegen.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Gotowe? Odłóż długopis.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D9534F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3  Verben und Zeitformen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czasowniki i czasy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trainieren, laufen, 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Infinitiv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Infinitive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bezokolicznik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heben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finite Form (Personalform)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forma osobowa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(odmieniona przez osoby)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trainiere. Er läuft.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infinit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nieodmieniony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(bezokolicznik, Partizip II)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konjugieren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Konjugation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odmieniać przez osoby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odmiana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laufe, du läufst, er läuft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Stamm · die Endung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Endungen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końcówka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lauf-en: Stamm „lauf“, Endung „-en“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Person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1., 2., 3. Person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osoba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(1.), du (2.), er/sie/es (3.)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Numerus: Singular · Plural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liczba: pojedyncza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mnoga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laufe (Sg.) · wir laufen (Pl.)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Personalpronomen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Personalpronomen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zaimek osobowy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ich, du, er, sie, es, wir, ihr, sie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Tempus · die Zeitform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Tempora · die Zeitformen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gramatyczny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Zeitstrahl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oś czasu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Vorvergangenheit · die Vergangenheit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zaprzeszłość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Gegenwart · die Zukunft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teraźniejszość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przyszłość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Präsens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teraźniejszy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trainiere heute.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Präteritum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prosty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tekstach pisanych i opowiadaniach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trainierte. Er lief.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przeszły złożony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gdy mówimy o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 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bin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Plusquamperfekt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zaprzeszły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stało się wcześniej niż inna rzecz w przeszłości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hatte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vorher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gewinnen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Futur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 przyszły dokonany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coś będzie już skończone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werde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9"/>
                <w:szCs w:val="19"/>
              </w:rPr>
              <w:t xml:space="preserve">Hilfsverb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haben, sein, werden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posiłkowy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Sie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Vollverb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Vollverben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główny (samodzielny)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hebe 80 kg.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9"/>
                <w:szCs w:val="19"/>
              </w:rPr>
              <w:t xml:space="preserve">Modalverb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können, müssen, dürfen, sollen, wollen, mögen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czasownik modalny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</w:t>
            </w:r>
            <w:r>
              <w:rPr>
                <w:rFonts w:ascii="Calibri" w:cs="Calibri" w:eastAsia="Calibri" w:hAnsi="Calibri"/>
                <w:b/>
                <w:bCs/>
                <w:color w:val="2E9E6B"/>
                <w:sz w:val="17"/>
                <w:szCs w:val="17"/>
              </w:rPr>
              <w:t xml:space="preserve">muss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 </w:t>
            </w:r>
            <w:r>
              <w:rPr>
                <w:rFonts w:ascii="Calibri" w:cs="Calibri" w:eastAsia="Calibri" w:hAnsi="Calibri"/>
                <w:b/>
                <w:bCs/>
                <w:color w:val="3F7CC4"/>
                <w:sz w:val="17"/>
                <w:szCs w:val="17"/>
              </w:rPr>
              <w:t xml:space="preserve">trainieren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9"/>
                <w:szCs w:val="19"/>
              </w:rPr>
              <w:t xml:space="preserve">Partizip II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imiesłów czasu przeszłego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(„trzecia forma“)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gewonnen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trainiert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, </w:t>
            </w:r>
            <w:r>
              <w:rPr>
                <w:rFonts w:ascii="Calibri" w:cs="Calibri" w:eastAsia="Calibri" w:hAnsi="Calibri"/>
                <w:b/>
                <w:bCs/>
                <w:color w:val="C98A1E"/>
                <w:sz w:val="17"/>
                <w:szCs w:val="17"/>
              </w:rPr>
              <w:t xml:space="preserve">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regelmäßig · unregelmäßig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nieregularny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trainieren – trainierte · laufen – lief – gelaufen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Satz · das Subjekt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podmiot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(Subjekt) lobt mich.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7A5BA6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4  Satzbau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budowa zdania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Hauptsatz · der Nebensatz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Hauptsätze · die Nebensätze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główne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zdanie podrzędne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flieht, weil er Angst hat.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Subjunktion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Subjunktionen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spójnik podrzędny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zaczyna zdanie podrzędne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dass, als, weil, wenn, ob, obwohl, während, nachdem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dass · als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że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(raz, w przeszłości)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als er die Nase ragen sah.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weil · wenn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ponieważ, bo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jeśli, kiedy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(zawsze)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wenn wir als Team spielen.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ob · obwohl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czy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chociaż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Trainer fragt, ob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während · nachdem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podczas gdy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 tym, jak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Verbstellung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szyk (miejsce) czasownika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w zdaniu podrzędnym forma osobowa stoi na końcu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…, weil ich 80 kg gestoßen </w:t>
            </w:r>
            <w:r>
              <w:rPr>
                <w:rFonts w:ascii="Calibri" w:cs="Calibri" w:eastAsia="Calibri" w:hAnsi="Calibri"/>
                <w:b/>
                <w:bCs/>
                <w:color w:val="D9534F"/>
                <w:sz w:val="17"/>
                <w:szCs w:val="17"/>
              </w:rPr>
              <w:t xml:space="preserve">habe</w:t>
            </w: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Komma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Kommas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przecinek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– stoi przed spójnikiem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Ich freue mich, weil …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Ballade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Balladen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ballada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„Paddy Fingal“ von Wilhelm Brandes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Lesetechnik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überfliegend · orientierend · genau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technika czytania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: pobieżnie · wybiórczo · dokładnie</w:t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Wie heißt Paddys Frau? → orientierend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Strophe · der Vers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Strophen · die Verse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strofa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wers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11 Strophen mit je 5 Versen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Reim · sich reimen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Reime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rymować się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Schreck – Versteck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das Reimschema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układ rymów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a a b b x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Paarreim · der Kreuzreim · der umarmende Reim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aabb · abab · abba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rym parzysty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krzyżowy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okalający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Kehrreim (Refrain)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refren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„… Paddy Fingal!“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Lyrik · die Epik · die Dramatik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liryka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epika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dramat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Die Ballade ist ein „Ur-Ei“.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der Erzähler · die Figur</w:t>
            </w:r>
          </w:p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5B6B8C"/>
                <w:sz w:val="15"/>
                <w:szCs w:val="15"/>
              </w:rPr>
              <w:t xml:space="preserve">die Figuren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narrator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postać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Paddy, Schaya, der Schotte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Handlung · der Höhepunkt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akcja (fabuła)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punkt kulminacyjny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Der Schotte sieht die Nase.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wörtliche Rede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mowa niezależna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„O Schaya, birg mich im Versteck!“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Spannung · der Konflikt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napięcie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konflikt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Paddy gegen den Schotten</w:t>
            </w:r>
          </w:p>
        </w:tc>
      </w:tr>
      <w:tr>
        <w:trPr>
          <w:cantSplit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1E2761"/>
                <w:sz w:val="19"/>
                <w:szCs w:val="19"/>
              </w:rPr>
              <w:t xml:space="preserve">die Zwischenüberschrift · gliedern</w:t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śródtytuł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> · </w:t>
            </w:r>
            <w:r>
              <w:rPr>
                <w:rFonts w:ascii="Calibri" w:cs="Calibri" w:eastAsia="Calibri" w:hAnsi="Calibri"/>
                <w:b/>
                <w:bCs/>
                <w:color w:val="000000"/>
                <w:sz w:val="18"/>
                <w:szCs w:val="18"/>
              </w:rPr>
              <w:t xml:space="preserve">podzielić tekst na części</w:t>
            </w:r>
            <w:r>
              <w:rPr>
                <w:rFonts w:ascii="Calibri" w:cs="Calibri" w:eastAsia="Calibri" w:hAnsi="Calibri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25"/>
              <w:left w:type="dxa" w:w="80"/>
              <w:bottom w:type="dxa" w:w="25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color w:val="33405F"/>
                <w:sz w:val="17"/>
                <w:szCs w:val="17"/>
              </w:rPr>
              <w:t xml:space="preserve">Str. 10: Flucht</w:t>
            </w:r>
          </w:p>
        </w:tc>
      </w:tr>
      <w:tr>
        <w:trPr>
          <w:cantSplit/>
        </w:trPr>
        <w:tc>
          <w:tcPr>
            <w:tcW w:type="dxa" w:w="10806"/>
            <w:gridSpan w:val="3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5B6B8C" w:color="auto" w:val="clear"/>
            <w:tcMar>
              <w:top w:type="dxa" w:w="40"/>
              <w:left w:type="dxa" w:w="80"/>
              <w:bottom w:type="dxa" w:w="40"/>
              <w:right w:type="dxa" w:w="100"/>
            </w:tcMar>
            <w:vAlign w:val="center"/>
          </w:tcPr>
          <w:p>
            <w:pPr>
              <w:spacing w:after="0" w:before="0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20"/>
                <w:szCs w:val="20"/>
              </w:rPr>
              <w:t xml:space="preserve">6  Meine neuen Wörter</w:t>
            </w:r>
            <w:r>
              <w:rPr>
                <w:rFonts w:ascii="Calibri" w:cs="Calibri" w:eastAsia="Calibri" w:hAnsi="Calibri"/>
                <w:i/>
                <w:iCs/>
                <w:color w:val="FFFFFF"/>
                <w:sz w:val="18"/>
                <w:szCs w:val="18"/>
              </w:rPr>
              <w:t xml:space="preserve">   moje nowe słowa – dopisuj sama</w:t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  <w:tr>
        <w:trPr>
          <w:cantSplit/>
          <w:trHeight w:val="520" w:hRule="atLeast"/>
        </w:trPr>
        <w:tc>
          <w:tcPr>
            <w:tcW w:type="dxa" w:w="30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3350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shd w:fill="FBFC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  <w:tc>
          <w:tcPr>
            <w:tcW w:type="dxa" w:w="4406"/>
            <w:tcBorders>
              <w:top w:val="single" w:color="C9D3EA" w:sz="6"/>
              <w:left w:val="single" w:color="C9D3EA" w:sz="6"/>
              <w:bottom w:val="single" w:color="C9D3EA" w:sz="6"/>
              <w:right w:val="single" w:color="C9D3EA" w:sz="6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100" w:before="0"/>
            </w:pPr>
            <w:r>
              <w:rPr>
                <w:rFonts w:ascii="Calibri" w:cs="Calibri" w:eastAsia="Calibri" w:hAnsi="Calibri"/>
                <w:color w:val="000000"/>
                <w:sz w:val="22"/>
                <w:szCs w:val="22"/>
              </w:rPr>
              <w:t xml:space="preserve"/>
            </w:r>
          </w:p>
        </w:tc>
      </w:tr>
    </w:tbl>
    <w:sectPr>
      <w:footerReference w:type="default" r:id="rId6"/>
      <w:pgSz w:w="11906" w:h="16838" w:orient="portrait"/>
      <w:pgMar w:top="600" w:right="550" w:bottom="600" w:left="550" w:header="708" w:footer="3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5B6B8C"/>
        <w:sz w:val="16"/>
        <w:szCs w:val="16"/>
      </w:rPr>
      <w:t xml:space="preserve">Deutsch 7A · Vokabelliste Deutsch – Polnisch · Seite </w:t>
    </w:r>
    <w:r>
      <w:rPr>
        <w:rFonts w:ascii="Calibri" w:cs="Calibri" w:eastAsia="Calibri" w:hAnsi="Calibri"/>
        <w:color w:val="5B6B8C"/>
        <w:sz w:val="16"/>
        <w:szCs w:val="16"/>
      </w:rPr>
      <w:fldChar w:fldCharType="begin"/>
    </w:r>
    <w:r>
      <w:rPr>
        <w:rFonts w:ascii="Calibri" w:cs="Calibri" w:eastAsia="Calibri" w:hAnsi="Calibri"/>
        <w:color w:val="5B6B8C"/>
        <w:sz w:val="16"/>
        <w:szCs w:val="16"/>
      </w:rPr>
      <w:instrText xml:space="preserve">PAGE</w:instrText>
    </w:r>
    <w:r>
      <w:rPr>
        <w:rFonts w:ascii="Calibri" w:cs="Calibri" w:eastAsia="Calibri" w:hAnsi="Calibri"/>
        <w:color w:val="5B6B8C"/>
        <w:sz w:val="16"/>
        <w:szCs w:val="16"/>
      </w:rPr>
      <w:fldChar w:fldCharType="separate"/>
    </w:r>
    <w:r>
      <w:rPr>
        <w:rFonts w:ascii="Calibri" w:cs="Calibri" w:eastAsia="Calibri" w:hAnsi="Calibri"/>
        <w:color w:val="5B6B8C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18"/>
        <w:szCs w:val="18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18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36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54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9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08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26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44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2026-10-31T11:16:38.702Z</dcterms:created>
  <dcterms:modified xsi:type="dcterms:W3CDTF">2026-10-31T11:16:38.702Z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