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6"/>
      </w:tblGrid>
      <w:tr>
        <w:trPr>
          <w:cantSplit/>
        </w:trPr>
        <w:tc>
          <w:tcPr>
            <w:tcW w:type="dxa" w:w="110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80"/>
              <w:left w:type="dxa" w:w="13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5"/>
                <w:szCs w:val="25"/>
              </w:rPr>
              <w:t xml:space="preserve">Lesetechniken wiederholen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8"/>
                <w:szCs w:val="18"/>
              </w:rPr>
              <w:t xml:space="preserve">   Powtórka: techniki czytania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Ziel: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Ich kann die drei Lesetechniken unterscheiden und begründen, welche zu meinem Leseziel passt.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7"/>
                <w:szCs w:val="17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Cel: Potrafię rozróżnić trzy techniki czytania i uzasadnić, która pasuje do mojego celu czytania.</w:t>
            </w:r>
          </w:p>
          <w:p>
            <w:pPr>
              <w:spacing w:after="10" w:before="5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Ablauf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   przebieg lekcji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7"/>
                <w:szCs w:val="17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1 Techniki czytania z pamięci · 2 Która technika pasuje? (A–D) · 3 * Przejrzyj „Paddy Fingal“ (tylko jeśli starczy czasu) · 4 Sprawdzenie celu (Zielcheck)</w:t>
            </w:r>
          </w:p>
          <w:p>
            <w:pPr>
              <w:spacing w:after="10" w:before="5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Wichtige Wörter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   ważne słowa</w:t>
            </w:r>
          </w:p>
          <w:tbl>
            <w:tblPr>
              <w:tblW w:type="dxa" w:w="10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00"/>
              <w:gridCol w:w="8046"/>
            </w:tblGrid>
            <w:tr>
              <w:trPr>
                <w:cantSplit/>
              </w:trPr>
              <w:tc>
                <w:tcPr>
                  <w:tcW w:type="dxa" w:w="2700"/>
                  <w:tcBorders>
                    <w:top w:val="single" w:color="C9D3EA" w:sz="6"/>
                    <w:left w:val="single" w:color="C9D3EA" w:sz="6"/>
                    <w:bottom w:val="single" w:color="C9D3EA" w:sz="6"/>
                    <w:right w:val="single" w:color="C9D3EA" w:sz="6"/>
                  </w:tcBorders>
                  <w:tcMar>
                    <w:top w:type="dxa" w:w="20"/>
                    <w:left w:type="dxa" w:w="7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das Leseziel</w:t>
                  </w:r>
                </w:p>
              </w:tc>
              <w:tc>
                <w:tcPr>
                  <w:tcW w:type="dxa" w:w="8046"/>
                  <w:tcBorders>
                    <w:top w:val="single" w:color="C9D3EA" w:sz="6"/>
                    <w:left w:val="single" w:color="C9D3EA" w:sz="6"/>
                    <w:bottom w:val="single" w:color="C9D3EA" w:sz="6"/>
                    <w:right w:val="single" w:color="C9D3EA" w:sz="6"/>
                  </w:tcBorders>
                  <w:shd w:fill="FBFCFF" w:color="auto" w:val="clear"/>
                  <w:tcMar>
                    <w:top w:type="dxa" w:w="20"/>
                    <w:left w:type="dxa" w:w="7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cel czytania – co chcę wyczytać z tekstu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00"/>
                  <w:tcBorders>
                    <w:top w:val="single" w:color="C9D3EA" w:sz="6"/>
                    <w:left w:val="single" w:color="C9D3EA" w:sz="6"/>
                    <w:bottom w:val="single" w:color="C9D3EA" w:sz="6"/>
                    <w:right w:val="single" w:color="C9D3EA" w:sz="6"/>
                  </w:tcBorders>
                  <w:tcMar>
                    <w:top w:type="dxa" w:w="20"/>
                    <w:left w:type="dxa" w:w="7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überfliegend lesen</w:t>
                  </w:r>
                </w:p>
              </w:tc>
              <w:tc>
                <w:tcPr>
                  <w:tcW w:type="dxa" w:w="8046"/>
                  <w:tcBorders>
                    <w:top w:val="single" w:color="C9D3EA" w:sz="6"/>
                    <w:left w:val="single" w:color="C9D3EA" w:sz="6"/>
                    <w:bottom w:val="single" w:color="C9D3EA" w:sz="6"/>
                    <w:right w:val="single" w:color="C9D3EA" w:sz="6"/>
                  </w:tcBorders>
                  <w:shd w:fill="FBFCFF" w:color="auto" w:val="clear"/>
                  <w:tcMar>
                    <w:top w:type="dxa" w:w="20"/>
                    <w:left w:type="dxa" w:w="7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czytać pobieżnie – szybko, żeby wiedzieć, o czym jest tekst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00"/>
                  <w:tcBorders>
                    <w:top w:val="single" w:color="C9D3EA" w:sz="6"/>
                    <w:left w:val="single" w:color="C9D3EA" w:sz="6"/>
                    <w:bottom w:val="single" w:color="C9D3EA" w:sz="6"/>
                    <w:right w:val="single" w:color="C9D3EA" w:sz="6"/>
                  </w:tcBorders>
                  <w:tcMar>
                    <w:top w:type="dxa" w:w="20"/>
                    <w:left w:type="dxa" w:w="7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orientierend lesen</w:t>
                  </w:r>
                </w:p>
              </w:tc>
              <w:tc>
                <w:tcPr>
                  <w:tcW w:type="dxa" w:w="8046"/>
                  <w:tcBorders>
                    <w:top w:val="single" w:color="C9D3EA" w:sz="6"/>
                    <w:left w:val="single" w:color="C9D3EA" w:sz="6"/>
                    <w:bottom w:val="single" w:color="C9D3EA" w:sz="6"/>
                    <w:right w:val="single" w:color="C9D3EA" w:sz="6"/>
                  </w:tcBorders>
                  <w:shd w:fill="FBFCFF" w:color="auto" w:val="clear"/>
                  <w:tcMar>
                    <w:top w:type="dxa" w:w="20"/>
                    <w:left w:type="dxa" w:w="7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czytać wybiórczo – szukam jednej konkretnej informacji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00"/>
                  <w:tcBorders>
                    <w:top w:val="single" w:color="C9D3EA" w:sz="6"/>
                    <w:left w:val="single" w:color="C9D3EA" w:sz="6"/>
                    <w:bottom w:val="single" w:color="C9D3EA" w:sz="6"/>
                    <w:right w:val="single" w:color="C9D3EA" w:sz="6"/>
                  </w:tcBorders>
                  <w:tcMar>
                    <w:top w:type="dxa" w:w="20"/>
                    <w:left w:type="dxa" w:w="7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genau lesen</w:t>
                  </w:r>
                </w:p>
              </w:tc>
              <w:tc>
                <w:tcPr>
                  <w:tcW w:type="dxa" w:w="8046"/>
                  <w:tcBorders>
                    <w:top w:val="single" w:color="C9D3EA" w:sz="6"/>
                    <w:left w:val="single" w:color="C9D3EA" w:sz="6"/>
                    <w:bottom w:val="single" w:color="C9D3EA" w:sz="6"/>
                    <w:right w:val="single" w:color="C9D3EA" w:sz="6"/>
                  </w:tcBorders>
                  <w:shd w:fill="FBFCFF" w:color="auto" w:val="clear"/>
                  <w:tcMar>
                    <w:top w:type="dxa" w:w="20"/>
                    <w:left w:type="dxa" w:w="7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czytać dokładnie – zdanie po zdaniu, chcę wszystko zrozumieć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00"/>
                  <w:tcBorders>
                    <w:top w:val="single" w:color="C9D3EA" w:sz="6"/>
                    <w:left w:val="single" w:color="C9D3EA" w:sz="6"/>
                    <w:bottom w:val="single" w:color="C9D3EA" w:sz="6"/>
                    <w:right w:val="single" w:color="C9D3EA" w:sz="6"/>
                  </w:tcBorders>
                  <w:tcMar>
                    <w:top w:type="dxa" w:w="20"/>
                    <w:left w:type="dxa" w:w="7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der Trainingsplan · durchblättern</w:t>
                  </w:r>
                </w:p>
              </w:tc>
              <w:tc>
                <w:tcPr>
                  <w:tcW w:type="dxa" w:w="8046"/>
                  <w:tcBorders>
                    <w:top w:val="single" w:color="C9D3EA" w:sz="6"/>
                    <w:left w:val="single" w:color="C9D3EA" w:sz="6"/>
                    <w:bottom w:val="single" w:color="C9D3EA" w:sz="6"/>
                    <w:right w:val="single" w:color="C9D3EA" w:sz="6"/>
                  </w:tcBorders>
                  <w:shd w:fill="FBFCFF" w:color="auto" w:val="clear"/>
                  <w:tcMar>
                    <w:top w:type="dxa" w:w="20"/>
                    <w:left w:type="dxa" w:w="7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plan treningów · przeglądać, kartkować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00"/>
                  <w:tcBorders>
                    <w:top w:val="single" w:color="C9D3EA" w:sz="6"/>
                    <w:left w:val="single" w:color="C9D3EA" w:sz="6"/>
                    <w:bottom w:val="single" w:color="C9D3EA" w:sz="6"/>
                    <w:right w:val="single" w:color="C9D3EA" w:sz="6"/>
                  </w:tcBorders>
                  <w:tcMar>
                    <w:top w:type="dxa" w:w="20"/>
                    <w:left w:type="dxa" w:w="7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die Wettkampfregeln (Pl.)</w:t>
                  </w:r>
                </w:p>
              </w:tc>
              <w:tc>
                <w:tcPr>
                  <w:tcW w:type="dxa" w:w="8046"/>
                  <w:tcBorders>
                    <w:top w:val="single" w:color="C9D3EA" w:sz="6"/>
                    <w:left w:val="single" w:color="C9D3EA" w:sz="6"/>
                    <w:bottom w:val="single" w:color="C9D3EA" w:sz="6"/>
                    <w:right w:val="single" w:color="C9D3EA" w:sz="6"/>
                  </w:tcBorders>
                  <w:shd w:fill="FBFCFF" w:color="auto" w:val="clear"/>
                  <w:tcMar>
                    <w:top w:type="dxa" w:w="20"/>
                    <w:left w:type="dxa" w:w="7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przepisy zawodów (disqualifiziert werden = zostać zdyskwalifikowanym)</w:t>
                  </w:r>
                </w:p>
              </w:tc>
            </w:tr>
          </w:tbl>
          <w:p>
            <w:pPr>
              <w:spacing w:after="10" w:before="5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1  Lesetechniken aus dem Gedächtnis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   z pamięci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Schreibe die drei Lesetechniken untereinander. Ergänze zu jeder: Ich lese so, wenn …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7"/>
                <w:szCs w:val="17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Zapisz w zeszycie trzy techniki czytania, jedna pod drugą. Do każdej dopisz zdanie „Ich lese so, wenn …“ (Czytam tak, gdy …). Potem porównaj z sąsiadem i popraw na zielono.</w:t>
            </w:r>
          </w:p>
          <w:p>
            <w:pPr>
              <w:spacing w:after="10" w:before="5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2  Welche Lesetechnik passt? Begründe mit „weil“.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   która technika pasuje? Uzasadnij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7"/>
                <w:szCs w:val="17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Zadanie A–D jest na tablicy. Zapisz literę, technikę i uzasadnienie. Uwaga: w zdaniu z „weil“ czasownik stoi na końcu, np. „…, weil ich nur eine Uhrzeit suche.“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7"/>
                <w:szCs w:val="17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A – sprawdzasz w planie treningów, o której w środę zaczyna się trening.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7"/>
                <w:szCs w:val="17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B – przeglądasz gazetę sportową i chcesz wiedzieć, czy jakiś artykuł cię interesuje.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7"/>
                <w:szCs w:val="17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C – przed zawodami czytasz nowe przepisy, żeby nie zostać zdyskwalifikowaną.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7"/>
                <w:szCs w:val="17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D – masz wyjaśnić, dlaczego Szkot w „Paddy Fingal“ na końcu ucieka.</w:t>
            </w:r>
          </w:p>
          <w:p>
            <w:pPr>
              <w:spacing w:after="10" w:before="5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* E  Paddy Fingal überfliegen (1 Min.)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   przejrzyj balladę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7"/>
                <w:szCs w:val="17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Przejrzyj balladę w podręczniku (s. 136) przez 1 minutę. Napisz: „In der Ballade geht es um …“ (Ballada opowiada o …).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Zielcheck: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Welche Lesetechnik brauchst du? Begründe mit „weil“.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7"/>
                <w:szCs w:val="17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Sprawdzenie celu: masz znaleźć strofę, w której Szkot widzi nos. Jakiej techniki czytania potrzebujesz? Zapisz ją w zeszycie z uzasadnieniem „…, weil …“.</w:t>
            </w:r>
          </w:p>
        </w:tc>
      </w:tr>
    </w:tbl>
    <w:sectPr>
      <w:pgSz w:w="11906" w:h="16838" w:orient="portrait"/>
      <w:pgMar w:top="450" w:right="450" w:bottom="300" w:left="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2026-10-31T10:41:09.596Z</dcterms:created>
  <dcterms:modified xsi:type="dcterms:W3CDTF">2026-10-31T10:41:09.597Z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