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 w:before="0"/>
      </w:pPr>
      <w:r>
        <w:rPr>
          <w:rFonts w:ascii="Calibri" w:cs="Calibri" w:eastAsia="Calibri" w:hAnsi="Calibri"/>
          <w:b/>
          <w:bCs/>
          <w:color w:val="5B6B8C"/>
          <w:sz w:val="16"/>
          <w:szCs w:val="16"/>
        </w:rPr>
        <w:t xml:space="preserve">GESCHICHTE · KLASSE 8 · FRANZÖSISCHE REVOLUTION</w:t>
      </w:r>
    </w:p>
    <w:p>
      <w:pPr>
        <w:spacing w:after="80" w:before="0"/>
      </w:pPr>
      <w:r>
        <w:rPr>
          <w:rFonts w:ascii="Cambria" w:cs="Cambria" w:eastAsia="Cambria" w:hAnsi="Cambria"/>
          <w:b/>
          <w:bCs/>
          <w:color w:val="1E2761"/>
          <w:sz w:val="34"/>
          <w:szCs w:val="34"/>
        </w:rPr>
        <w:t xml:space="preserve">Wie kam es zu den Generalständen?</w:t>
      </w:r>
    </w:p>
    <w:p>
      <w:pPr>
        <w:spacing w:after="100" w:before="0" w:line="300"/>
        <w:jc w:val="both"/>
      </w:pPr>
      <w:r>
        <w:rPr>
          <w:rFonts w:ascii="Cambria" w:cs="Cambria" w:eastAsia="Cambria" w:hAnsi="Cambria"/>
          <w:color w:val="000000"/>
          <w:sz w:val="24"/>
          <w:szCs w:val="24"/>
        </w:rPr>
        <w:t xml:space="preserve">Seit 1614 haben die Generalstände nicht mehr getagt, denn die Könige haben auch ohne sie regiert. Doch das Geld wird knapp. Kriege und Hofhaltung haben Frankreich hoch verschuldet. Unter Ludwig XVI. kommt der teure Krieg in Amerika dazu (1778 bis 1783). Schon die Zinsen für die Schulden verschlingen einen großen Teil der Staatseinnahmen.</w:t>
      </w:r>
    </w:p>
    <w:p>
      <w:pPr>
        <w:spacing w:after="100" w:before="0" w:line="300"/>
        <w:jc w:val="both"/>
      </w:pPr>
      <w:r>
        <w:rPr>
          <w:rFonts w:ascii="Cambria" w:cs="Cambria" w:eastAsia="Cambria" w:hAnsi="Cambria"/>
          <w:color w:val="000000"/>
          <w:sz w:val="24"/>
          <w:szCs w:val="24"/>
        </w:rPr>
        <w:t xml:space="preserve">Der König braucht mehr Geld, doch die Privilegierten sind nicht bereit zu zahlen. 1787 scheitern Pläne, dass auch Adel und Klerus Steuern zahlen sollen. Als 1788 die Ernte schlecht ausfällt und das Brot teurer wird, droht der Staatsbankrott und Unruhe im Land. Im August 1788 gibt der König nach: Er kündigt die Generalstände für den Mai 1789 an.</w:t>
      </w:r>
    </w:p>
    <w:p>
      <w:pPr>
        <w:spacing w:after="100" w:before="0" w:line="300"/>
        <w:jc w:val="both"/>
      </w:pPr>
      <w:r>
        <w:rPr>
          <w:rFonts w:ascii="Cambria" w:cs="Cambria" w:eastAsia="Cambria" w:hAnsi="Cambria"/>
          <w:color w:val="000000"/>
          <w:sz w:val="24"/>
          <w:szCs w:val="24"/>
        </w:rPr>
        <w:t xml:space="preserve">Im Frühjahr 1789 werden Abgeordnete gewählt. In jeder Gemeinde schreiben die Menschen ihre Klagen in Beschwerdehefte: über Steuern, Abgaben und Hunger. Am 5. Mai 1789 eröffnet der König die Generalstände in Versailles. Es kommen etwa 290 Vertreter des Klerus, 270 des Adels und 580 des Dritten Standes (Bauern und Bürger). Wie abgestimmt wird, ist noch offen: Früher hatte jeder Stand eine Stimme. Der Dritte Stand (Bauern und Bürger) fordert, dass jeder Abgeordnete eine Stimme hat.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103"/>
        <w:gridCol w:w="5103"/>
      </w:tblGrid>
      <w:tr>
        <w:trPr>
          <w:cantSplit/>
        </w:trPr>
        <w:tc>
          <w:tcPr>
            <w:tcW w:type="dxa" w:w="5103"/>
            <w:tcBorders>
              <w:top w:val="none" w:color="FFFFFF" w:sz="0"/>
              <w:left w:val="none" w:color="FFFFFF" w:sz="0"/>
              <w:bottom w:val="none" w:color="FFFFFF" w:sz="0"/>
              <w:right w:val="none" w:color="FFFFFF" w:sz="0"/>
            </w:tcBorders>
            <w:shd w:fill="EAF0FA" w:color="auto" w:val="clear"/>
            <w:tcMar>
              <w:top w:type="dxa" w:w="40"/>
              <w:left w:type="dxa" w:w="120"/>
              <w:bottom w:type="dxa" w:w="40"/>
              <w:right w:type="dxa" w:w="120"/>
            </w:tcMar>
          </w:tcPr>
          <w:p>
            <w:pPr>
              <w:spacing w:after="0" w:before="0"/>
            </w:pPr>
            <w:r>
              <w:rPr>
                <w:rFonts w:ascii="Calibri" w:cs="Calibri" w:eastAsia="Calibri" w:hAnsi="Calibri"/>
                <w:b/>
                <w:bCs/>
                <w:color w:val="000000"/>
                <w:sz w:val="18"/>
                <w:szCs w:val="18"/>
              </w:rPr>
              <w:t xml:space="preserve">Generalstände: </w:t>
            </w:r>
            <w:r>
              <w:rPr>
                <w:rFonts w:ascii="Calibri" w:cs="Calibri" w:eastAsia="Calibri" w:hAnsi="Calibri"/>
                <w:color w:val="000000"/>
                <w:sz w:val="18"/>
                <w:szCs w:val="18"/>
              </w:rPr>
              <w:t xml:space="preserve">Versammlung von Vertretern der drei Stände</w:t>
            </w:r>
          </w:p>
        </w:tc>
        <w:tc>
          <w:tcPr>
            <w:tcW w:type="dxa" w:w="5103"/>
            <w:tcBorders>
              <w:top w:val="none" w:color="FFFFFF" w:sz="0"/>
              <w:left w:val="none" w:color="FFFFFF" w:sz="0"/>
              <w:bottom w:val="none" w:color="FFFFFF" w:sz="0"/>
              <w:right w:val="none" w:color="FFFFFF" w:sz="0"/>
            </w:tcBorders>
            <w:shd w:fill="EAF0FA" w:color="auto" w:val="clear"/>
            <w:tcMar>
              <w:top w:type="dxa" w:w="40"/>
              <w:left w:type="dxa" w:w="120"/>
              <w:bottom w:type="dxa" w:w="40"/>
              <w:right w:type="dxa" w:w="120"/>
            </w:tcMar>
          </w:tcPr>
          <w:p>
            <w:pPr>
              <w:spacing w:after="0" w:before="0"/>
            </w:pPr>
            <w:r>
              <w:rPr>
                <w:rFonts w:ascii="Calibri" w:cs="Calibri" w:eastAsia="Calibri" w:hAnsi="Calibri"/>
                <w:b/>
                <w:bCs/>
                <w:color w:val="000000"/>
                <w:sz w:val="18"/>
                <w:szCs w:val="18"/>
              </w:rPr>
              <w:t xml:space="preserve">Privilegierte: </w:t>
            </w:r>
            <w:r>
              <w:rPr>
                <w:rFonts w:ascii="Calibri" w:cs="Calibri" w:eastAsia="Calibri" w:hAnsi="Calibri"/>
                <w:color w:val="000000"/>
                <w:sz w:val="18"/>
                <w:szCs w:val="18"/>
              </w:rPr>
              <w:t xml:space="preserve">Menschen mit Vorrechten (Adel und Klerus)</w:t>
            </w:r>
          </w:p>
        </w:tc>
      </w:tr>
      <w:tr>
        <w:trPr>
          <w:cantSplit/>
        </w:trPr>
        <w:tc>
          <w:tcPr>
            <w:tcW w:type="dxa" w:w="5103"/>
            <w:tcBorders>
              <w:top w:val="none" w:color="FFFFFF" w:sz="0"/>
              <w:left w:val="none" w:color="FFFFFF" w:sz="0"/>
              <w:bottom w:val="none" w:color="FFFFFF" w:sz="0"/>
              <w:right w:val="none" w:color="FFFFFF" w:sz="0"/>
            </w:tcBorders>
            <w:shd w:fill="EAF0FA" w:color="auto" w:val="clear"/>
            <w:tcMar>
              <w:top w:type="dxa" w:w="40"/>
              <w:left w:type="dxa" w:w="120"/>
              <w:bottom w:type="dxa" w:w="40"/>
              <w:right w:type="dxa" w:w="120"/>
            </w:tcMar>
          </w:tcPr>
          <w:p>
            <w:pPr>
              <w:spacing w:after="0" w:before="0"/>
            </w:pPr>
            <w:r>
              <w:rPr>
                <w:rFonts w:ascii="Calibri" w:cs="Calibri" w:eastAsia="Calibri" w:hAnsi="Calibri"/>
                <w:b/>
                <w:bCs/>
                <w:color w:val="000000"/>
                <w:sz w:val="18"/>
                <w:szCs w:val="18"/>
              </w:rPr>
              <w:t xml:space="preserve">Staatsbankrott: </w:t>
            </w:r>
            <w:r>
              <w:rPr>
                <w:rFonts w:ascii="Calibri" w:cs="Calibri" w:eastAsia="Calibri" w:hAnsi="Calibri"/>
                <w:color w:val="000000"/>
                <w:sz w:val="18"/>
                <w:szCs w:val="18"/>
              </w:rPr>
              <w:t xml:space="preserve">Der Staat kann seine Schulden nicht mehr bezahlen</w:t>
            </w:r>
          </w:p>
        </w:tc>
        <w:tc>
          <w:tcPr>
            <w:tcW w:type="dxa" w:w="5103"/>
            <w:tcBorders>
              <w:top w:val="none" w:color="FFFFFF" w:sz="0"/>
              <w:left w:val="none" w:color="FFFFFF" w:sz="0"/>
              <w:bottom w:val="none" w:color="FFFFFF" w:sz="0"/>
              <w:right w:val="none" w:color="FFFFFF" w:sz="0"/>
            </w:tcBorders>
            <w:shd w:fill="EAF0FA" w:color="auto" w:val="clear"/>
            <w:tcMar>
              <w:top w:type="dxa" w:w="40"/>
              <w:left w:type="dxa" w:w="120"/>
              <w:bottom w:type="dxa" w:w="40"/>
              <w:right w:type="dxa" w:w="120"/>
            </w:tcMar>
          </w:tcPr>
          <w:p>
            <w:pPr>
              <w:spacing w:after="0" w:before="0"/>
            </w:pPr>
            <w:r>
              <w:rPr>
                <w:rFonts w:ascii="Calibri" w:cs="Calibri" w:eastAsia="Calibri" w:hAnsi="Calibri"/>
                <w:b/>
                <w:bCs/>
                <w:color w:val="000000"/>
                <w:sz w:val="18"/>
                <w:szCs w:val="18"/>
              </w:rPr>
              <w:t xml:space="preserve">Beschwerdehefte: </w:t>
            </w:r>
            <w:r>
              <w:rPr>
                <w:rFonts w:ascii="Calibri" w:cs="Calibri" w:eastAsia="Calibri" w:hAnsi="Calibri"/>
                <w:color w:val="000000"/>
                <w:sz w:val="18"/>
                <w:szCs w:val="18"/>
              </w:rPr>
              <w:t xml:space="preserve">Hefte, in die die Menschen ihre Klagen schrieben</w:t>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rPr>
          <w:cantSplit/>
        </w:trPr>
        <w:tc>
          <w:tcPr>
            <w:tcW w:type="dxa" w:w="10206"/>
            <w:tcBorders>
              <w:top w:val="single" w:color="B9C6E8" w:sz="6"/>
              <w:left w:val="single" w:color="B9C6E8" w:sz="6"/>
              <w:bottom w:val="single" w:color="B9C6E8" w:sz="6"/>
              <w:right w:val="single" w:color="B9C6E8" w:sz="6"/>
            </w:tcBorders>
            <w:shd w:fill="FFFFFF" w:color="auto" w:val="clear"/>
            <w:tcMar>
              <w:top w:type="dxa" w:w="90"/>
              <w:left w:type="dxa" w:w="160"/>
              <w:bottom w:type="dxa" w:w="90"/>
              <w:right w:type="dxa" w:w="160"/>
            </w:tcMar>
            <w:vAlign w:val="top"/>
          </w:tcPr>
          <w:p>
            <w:pPr>
              <w:spacing w:after="0" w:before="0"/>
            </w:pPr>
            <w:r>
              <w:rPr>
                <w:rFonts w:ascii="Calibri" w:cs="Calibri" w:eastAsia="Calibri" w:hAnsi="Calibri"/>
                <w:b/>
                <w:bCs/>
                <w:color w:val="D9534F"/>
                <w:sz w:val="20"/>
                <w:szCs w:val="20"/>
              </w:rPr>
              <w:t xml:space="preserve">Deine Aufgabe  </w:t>
            </w:r>
            <w:r>
              <w:rPr>
                <w:rFonts w:ascii="Calibri" w:cs="Calibri" w:eastAsia="Calibri" w:hAnsi="Calibri"/>
                <w:color w:val="000000"/>
                <w:sz w:val="20"/>
                <w:szCs w:val="20"/>
              </w:rPr>
              <w:t xml:space="preserve">1  Lies den Text und unterstreiche alle Jahreszahlen.   2  Trage die Daten unten im Zeitstrahl ein.   3  Überlege: Warum ruft der König die Generalstände ein, obwohl er sie 175 Jahre nicht gebraucht hat?</w:t>
            </w:r>
          </w:p>
        </w:tc>
      </w:tr>
    </w:tbl>
    <w:p>
      <w:pPr>
        <w:spacing w:after="40" w:before="140"/>
      </w:pPr>
      <w:r>
        <w:rPr>
          <w:rFonts w:ascii="Cambria" w:cs="Cambria" w:eastAsia="Cambria" w:hAnsi="Cambria"/>
          <w:b/>
          <w:bCs/>
          <w:color w:val="1E2761"/>
          <w:sz w:val="26"/>
          <w:szCs w:val="26"/>
        </w:rPr>
        <w:t xml:space="preserve">Zeitstrahl: Der Weg zu den Generalständen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000"/>
        <w:gridCol w:w="500"/>
        <w:gridCol w:w="7706"/>
      </w:tblGrid>
      <w:tr>
        <w:trPr>
          <w:cantSplit/>
          <w:trHeight w:val="680" w:hRule="atLeast"/>
        </w:trPr>
        <w:tc>
          <w:tcPr>
            <w:tcW w:type="dxa" w:w="2000"/>
            <w:tcBorders>
              <w:top w:val="none" w:color="FFFFFF" w:sz="0"/>
              <w:left w:val="none" w:color="FFFFFF" w:sz="0"/>
              <w:bottom w:val="single" w:color="8A96B5" w:sz="8"/>
              <w:right w:val="none" w:color="FFFFFF" w:sz="0"/>
            </w:tcBorders>
            <w:tcMar>
              <w:top w:type="dxa" w:w="20"/>
              <w:left w:type="dxa" w:w="80"/>
              <w:bottom w:type="dxa" w:w="20"/>
              <w:right w:type="dxa" w:w="120"/>
            </w:tcMar>
            <w:vAlign w:val="bottom"/>
          </w:tcPr>
          <w:p>
            <w:pPr>
              <w:spacing w:after="0" w:before="0"/>
            </w:pPr>
            <w:r>
              <w:rPr>
                <w:rFonts w:ascii="Calibri" w:cs="Calibri" w:eastAsia="Calibri" w:hAnsi="Calibri"/>
                <w:color w:val="000000"/>
                <w:sz w:val="22"/>
                <w:szCs w:val="22"/>
              </w:rPr>
              <w:t xml:space="preserve"/>
            </w:r>
          </w:p>
        </w:tc>
        <w:tc>
          <w:tcPr>
            <w:tcW w:type="dxa" w:w="5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jc w:val="center"/>
            </w:pPr>
            <w:r>
              <w:rPr>
                <w:rFonts w:ascii="Calibri" w:cs="Calibri" w:eastAsia="Calibri" w:hAnsi="Calibri"/>
                <w:b/>
                <w:bCs/>
                <w:color w:val="1E2761"/>
                <w:sz w:val="22"/>
                <w:szCs w:val="22"/>
              </w:rPr>
              <w:t xml:space="preserve">▼</w:t>
            </w:r>
          </w:p>
        </w:tc>
        <w:tc>
          <w:tcPr>
            <w:tcW w:type="dxa" w:w="7706"/>
            <w:tcBorders>
              <w:top w:val="single" w:color="B9C6E8" w:sz="6"/>
              <w:left w:val="single" w:color="B9C6E8" w:sz="6"/>
              <w:bottom w:val="single" w:color="B9C6E8" w:sz="6"/>
              <w:right w:val="single" w:color="B9C6E8" w:sz="6"/>
            </w:tcBorders>
            <w:shd w:fill="EAF0FA" w:color="auto" w:val="clear"/>
            <w:tcMar>
              <w:top w:type="dxa" w:w="30"/>
              <w:left w:type="dxa" w:w="140"/>
              <w:bottom w:type="dxa" w:w="30"/>
              <w:right w:type="dxa" w:w="140"/>
            </w:tcMar>
            <w:vAlign w:val="center"/>
          </w:tcPr>
          <w:p>
            <w:pPr>
              <w:spacing w:after="0" w:before="0"/>
            </w:pPr>
            <w:r>
              <w:rPr>
                <w:rFonts w:ascii="Calibri" w:cs="Calibri" w:eastAsia="Calibri" w:hAnsi="Calibri"/>
                <w:color w:val="000000"/>
                <w:sz w:val="22"/>
                <w:szCs w:val="22"/>
              </w:rPr>
              <w:t xml:space="preserve">Die Generalstände tagen zum letzten Mal. Danach regieren die Könige 175 Jahre ohne sie.</w:t>
            </w:r>
          </w:p>
        </w:tc>
      </w:tr>
      <w:tr>
        <w:trPr>
          <w:cantSplit/>
          <w:trHeight w:val="680" w:hRule="atLeast"/>
        </w:trPr>
        <w:tc>
          <w:tcPr>
            <w:tcW w:type="dxa" w:w="2000"/>
            <w:tcBorders>
              <w:top w:val="none" w:color="FFFFFF" w:sz="0"/>
              <w:left w:val="none" w:color="FFFFFF" w:sz="0"/>
              <w:bottom w:val="single" w:color="8A96B5" w:sz="8"/>
              <w:right w:val="none" w:color="FFFFFF" w:sz="0"/>
            </w:tcBorders>
            <w:tcMar>
              <w:top w:type="dxa" w:w="20"/>
              <w:left w:type="dxa" w:w="80"/>
              <w:bottom w:type="dxa" w:w="20"/>
              <w:right w:type="dxa" w:w="120"/>
            </w:tcMar>
            <w:vAlign w:val="bottom"/>
          </w:tcPr>
          <w:p>
            <w:pPr>
              <w:spacing w:after="0" w:before="0"/>
            </w:pPr>
            <w:r>
              <w:rPr>
                <w:rFonts w:ascii="Calibri" w:cs="Calibri" w:eastAsia="Calibri" w:hAnsi="Calibri"/>
                <w:color w:val="000000"/>
                <w:sz w:val="22"/>
                <w:szCs w:val="22"/>
              </w:rPr>
              <w:t xml:space="preserve"/>
            </w:r>
          </w:p>
        </w:tc>
        <w:tc>
          <w:tcPr>
            <w:tcW w:type="dxa" w:w="5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jc w:val="center"/>
            </w:pPr>
            <w:r>
              <w:rPr>
                <w:rFonts w:ascii="Calibri" w:cs="Calibri" w:eastAsia="Calibri" w:hAnsi="Calibri"/>
                <w:b/>
                <w:bCs/>
                <w:color w:val="1E2761"/>
                <w:sz w:val="22"/>
                <w:szCs w:val="22"/>
              </w:rPr>
              <w:t xml:space="preserve">│</w:t>
            </w:r>
          </w:p>
        </w:tc>
        <w:tc>
          <w:tcPr>
            <w:tcW w:type="dxa" w:w="7706"/>
            <w:tcBorders>
              <w:top w:val="single" w:color="B9C6E8" w:sz="6"/>
              <w:left w:val="single" w:color="B9C6E8" w:sz="6"/>
              <w:bottom w:val="single" w:color="B9C6E8" w:sz="6"/>
              <w:right w:val="single" w:color="B9C6E8" w:sz="6"/>
            </w:tcBorders>
            <w:shd w:fill="F4F7FD" w:color="auto" w:val="clear"/>
            <w:tcMar>
              <w:top w:type="dxa" w:w="30"/>
              <w:left w:type="dxa" w:w="140"/>
              <w:bottom w:type="dxa" w:w="30"/>
              <w:right w:type="dxa" w:w="140"/>
            </w:tcMar>
            <w:vAlign w:val="center"/>
          </w:tcPr>
          <w:p>
            <w:pPr>
              <w:spacing w:after="0" w:before="0"/>
            </w:pPr>
            <w:r>
              <w:rPr>
                <w:rFonts w:ascii="Calibri" w:cs="Calibri" w:eastAsia="Calibri" w:hAnsi="Calibri"/>
                <w:color w:val="000000"/>
                <w:sz w:val="22"/>
                <w:szCs w:val="22"/>
              </w:rPr>
              <w:t xml:space="preserve">Der Krieg in Amerika kostet viel Geld. Frankreich macht hohe Schulden.</w:t>
            </w:r>
          </w:p>
        </w:tc>
      </w:tr>
      <w:tr>
        <w:trPr>
          <w:cantSplit/>
          <w:trHeight w:val="680" w:hRule="atLeast"/>
        </w:trPr>
        <w:tc>
          <w:tcPr>
            <w:tcW w:type="dxa" w:w="2000"/>
            <w:tcBorders>
              <w:top w:val="none" w:color="FFFFFF" w:sz="0"/>
              <w:left w:val="none" w:color="FFFFFF" w:sz="0"/>
              <w:bottom w:val="single" w:color="8A96B5" w:sz="8"/>
              <w:right w:val="none" w:color="FFFFFF" w:sz="0"/>
            </w:tcBorders>
            <w:tcMar>
              <w:top w:type="dxa" w:w="20"/>
              <w:left w:type="dxa" w:w="80"/>
              <w:bottom w:type="dxa" w:w="20"/>
              <w:right w:type="dxa" w:w="120"/>
            </w:tcMar>
            <w:vAlign w:val="bottom"/>
          </w:tcPr>
          <w:p>
            <w:pPr>
              <w:spacing w:after="0" w:before="0"/>
            </w:pPr>
            <w:r>
              <w:rPr>
                <w:rFonts w:ascii="Calibri" w:cs="Calibri" w:eastAsia="Calibri" w:hAnsi="Calibri"/>
                <w:color w:val="000000"/>
                <w:sz w:val="22"/>
                <w:szCs w:val="22"/>
              </w:rPr>
              <w:t xml:space="preserve"/>
            </w:r>
          </w:p>
        </w:tc>
        <w:tc>
          <w:tcPr>
            <w:tcW w:type="dxa" w:w="5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jc w:val="center"/>
            </w:pPr>
            <w:r>
              <w:rPr>
                <w:rFonts w:ascii="Calibri" w:cs="Calibri" w:eastAsia="Calibri" w:hAnsi="Calibri"/>
                <w:b/>
                <w:bCs/>
                <w:color w:val="1E2761"/>
                <w:sz w:val="22"/>
                <w:szCs w:val="22"/>
              </w:rPr>
              <w:t xml:space="preserve">│</w:t>
            </w:r>
          </w:p>
        </w:tc>
        <w:tc>
          <w:tcPr>
            <w:tcW w:type="dxa" w:w="7706"/>
            <w:tcBorders>
              <w:top w:val="single" w:color="B9C6E8" w:sz="6"/>
              <w:left w:val="single" w:color="B9C6E8" w:sz="6"/>
              <w:bottom w:val="single" w:color="B9C6E8" w:sz="6"/>
              <w:right w:val="single" w:color="B9C6E8" w:sz="6"/>
            </w:tcBorders>
            <w:shd w:fill="EAF0FA" w:color="auto" w:val="clear"/>
            <w:tcMar>
              <w:top w:type="dxa" w:w="30"/>
              <w:left w:type="dxa" w:w="140"/>
              <w:bottom w:type="dxa" w:w="30"/>
              <w:right w:type="dxa" w:w="140"/>
            </w:tcMar>
            <w:vAlign w:val="center"/>
          </w:tcPr>
          <w:p>
            <w:pPr>
              <w:spacing w:after="0" w:before="0"/>
            </w:pPr>
            <w:r>
              <w:rPr>
                <w:rFonts w:ascii="Calibri" w:cs="Calibri" w:eastAsia="Calibri" w:hAnsi="Calibri"/>
                <w:color w:val="000000"/>
                <w:sz w:val="22"/>
                <w:szCs w:val="22"/>
              </w:rPr>
              <w:t xml:space="preserve">Der Plan, dass auch Adel und Klerus Steuern zahlen, scheitert.</w:t>
            </w:r>
          </w:p>
        </w:tc>
      </w:tr>
      <w:tr>
        <w:trPr>
          <w:cantSplit/>
          <w:trHeight w:val="680" w:hRule="atLeast"/>
        </w:trPr>
        <w:tc>
          <w:tcPr>
            <w:tcW w:type="dxa" w:w="2000"/>
            <w:tcBorders>
              <w:top w:val="none" w:color="FFFFFF" w:sz="0"/>
              <w:left w:val="none" w:color="FFFFFF" w:sz="0"/>
              <w:bottom w:val="single" w:color="8A96B5" w:sz="8"/>
              <w:right w:val="none" w:color="FFFFFF" w:sz="0"/>
            </w:tcBorders>
            <w:tcMar>
              <w:top w:type="dxa" w:w="20"/>
              <w:left w:type="dxa" w:w="80"/>
              <w:bottom w:type="dxa" w:w="20"/>
              <w:right w:type="dxa" w:w="120"/>
            </w:tcMar>
            <w:vAlign w:val="bottom"/>
          </w:tcPr>
          <w:p>
            <w:pPr>
              <w:spacing w:after="0" w:before="0"/>
            </w:pPr>
            <w:r>
              <w:rPr>
                <w:rFonts w:ascii="Calibri" w:cs="Calibri" w:eastAsia="Calibri" w:hAnsi="Calibri"/>
                <w:color w:val="000000"/>
                <w:sz w:val="22"/>
                <w:szCs w:val="22"/>
              </w:rPr>
              <w:t xml:space="preserve"/>
            </w:r>
          </w:p>
        </w:tc>
        <w:tc>
          <w:tcPr>
            <w:tcW w:type="dxa" w:w="5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jc w:val="center"/>
            </w:pPr>
            <w:r>
              <w:rPr>
                <w:rFonts w:ascii="Calibri" w:cs="Calibri" w:eastAsia="Calibri" w:hAnsi="Calibri"/>
                <w:b/>
                <w:bCs/>
                <w:color w:val="1E2761"/>
                <w:sz w:val="22"/>
                <w:szCs w:val="22"/>
              </w:rPr>
              <w:t xml:space="preserve">│</w:t>
            </w:r>
          </w:p>
        </w:tc>
        <w:tc>
          <w:tcPr>
            <w:tcW w:type="dxa" w:w="7706"/>
            <w:tcBorders>
              <w:top w:val="single" w:color="B9C6E8" w:sz="6"/>
              <w:left w:val="single" w:color="B9C6E8" w:sz="6"/>
              <w:bottom w:val="single" w:color="B9C6E8" w:sz="6"/>
              <w:right w:val="single" w:color="B9C6E8" w:sz="6"/>
            </w:tcBorders>
            <w:shd w:fill="F4F7FD" w:color="auto" w:val="clear"/>
            <w:tcMar>
              <w:top w:type="dxa" w:w="30"/>
              <w:left w:type="dxa" w:w="140"/>
              <w:bottom w:type="dxa" w:w="30"/>
              <w:right w:type="dxa" w:w="140"/>
            </w:tcMar>
            <w:vAlign w:val="center"/>
          </w:tcPr>
          <w:p>
            <w:pPr>
              <w:spacing w:after="0" w:before="0"/>
            </w:pPr>
            <w:r>
              <w:rPr>
                <w:rFonts w:ascii="Calibri" w:cs="Calibri" w:eastAsia="Calibri" w:hAnsi="Calibri"/>
                <w:color w:val="000000"/>
                <w:sz w:val="22"/>
                <w:szCs w:val="22"/>
              </w:rPr>
              <w:t xml:space="preserve">Missernte, das Brot wird teurer, der Staatsbankrott droht.</w:t>
            </w:r>
          </w:p>
        </w:tc>
      </w:tr>
      <w:tr>
        <w:trPr>
          <w:cantSplit/>
          <w:trHeight w:val="680" w:hRule="atLeast"/>
        </w:trPr>
        <w:tc>
          <w:tcPr>
            <w:tcW w:type="dxa" w:w="2000"/>
            <w:tcBorders>
              <w:top w:val="none" w:color="FFFFFF" w:sz="0"/>
              <w:left w:val="none" w:color="FFFFFF" w:sz="0"/>
              <w:bottom w:val="single" w:color="8A96B5" w:sz="8"/>
              <w:right w:val="none" w:color="FFFFFF" w:sz="0"/>
            </w:tcBorders>
            <w:tcMar>
              <w:top w:type="dxa" w:w="20"/>
              <w:left w:type="dxa" w:w="80"/>
              <w:bottom w:type="dxa" w:w="20"/>
              <w:right w:type="dxa" w:w="120"/>
            </w:tcMar>
            <w:vAlign w:val="bottom"/>
          </w:tcPr>
          <w:p>
            <w:pPr>
              <w:spacing w:after="0" w:before="0"/>
            </w:pPr>
            <w:r>
              <w:rPr>
                <w:rFonts w:ascii="Calibri" w:cs="Calibri" w:eastAsia="Calibri" w:hAnsi="Calibri"/>
                <w:color w:val="000000"/>
                <w:sz w:val="22"/>
                <w:szCs w:val="22"/>
              </w:rPr>
              <w:t xml:space="preserve"/>
            </w:r>
          </w:p>
        </w:tc>
        <w:tc>
          <w:tcPr>
            <w:tcW w:type="dxa" w:w="5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jc w:val="center"/>
            </w:pPr>
            <w:r>
              <w:rPr>
                <w:rFonts w:ascii="Calibri" w:cs="Calibri" w:eastAsia="Calibri" w:hAnsi="Calibri"/>
                <w:b/>
                <w:bCs/>
                <w:color w:val="1E2761"/>
                <w:sz w:val="22"/>
                <w:szCs w:val="22"/>
              </w:rPr>
              <w:t xml:space="preserve">│</w:t>
            </w:r>
          </w:p>
        </w:tc>
        <w:tc>
          <w:tcPr>
            <w:tcW w:type="dxa" w:w="7706"/>
            <w:tcBorders>
              <w:top w:val="single" w:color="B9C6E8" w:sz="6"/>
              <w:left w:val="single" w:color="B9C6E8" w:sz="6"/>
              <w:bottom w:val="single" w:color="B9C6E8" w:sz="6"/>
              <w:right w:val="single" w:color="B9C6E8" w:sz="6"/>
            </w:tcBorders>
            <w:shd w:fill="EAF0FA" w:color="auto" w:val="clear"/>
            <w:tcMar>
              <w:top w:type="dxa" w:w="30"/>
              <w:left w:type="dxa" w:w="140"/>
              <w:bottom w:type="dxa" w:w="30"/>
              <w:right w:type="dxa" w:w="140"/>
            </w:tcMar>
            <w:vAlign w:val="center"/>
          </w:tcPr>
          <w:p>
            <w:pPr>
              <w:spacing w:after="0" w:before="0"/>
            </w:pPr>
            <w:r>
              <w:rPr>
                <w:rFonts w:ascii="Calibri" w:cs="Calibri" w:eastAsia="Calibri" w:hAnsi="Calibri"/>
                <w:color w:val="000000"/>
                <w:sz w:val="22"/>
                <w:szCs w:val="22"/>
              </w:rPr>
              <w:t xml:space="preserve">Der König kündigt die Generalstände an.</w:t>
            </w:r>
          </w:p>
        </w:tc>
      </w:tr>
      <w:tr>
        <w:trPr>
          <w:cantSplit/>
          <w:trHeight w:val="680" w:hRule="atLeast"/>
        </w:trPr>
        <w:tc>
          <w:tcPr>
            <w:tcW w:type="dxa" w:w="2000"/>
            <w:tcBorders>
              <w:top w:val="none" w:color="FFFFFF" w:sz="0"/>
              <w:left w:val="none" w:color="FFFFFF" w:sz="0"/>
              <w:bottom w:val="single" w:color="8A96B5" w:sz="8"/>
              <w:right w:val="none" w:color="FFFFFF" w:sz="0"/>
            </w:tcBorders>
            <w:tcMar>
              <w:top w:type="dxa" w:w="20"/>
              <w:left w:type="dxa" w:w="80"/>
              <w:bottom w:type="dxa" w:w="20"/>
              <w:right w:type="dxa" w:w="120"/>
            </w:tcMar>
            <w:vAlign w:val="bottom"/>
          </w:tcPr>
          <w:p>
            <w:pPr>
              <w:spacing w:after="0" w:before="0"/>
            </w:pPr>
            <w:r>
              <w:rPr>
                <w:rFonts w:ascii="Calibri" w:cs="Calibri" w:eastAsia="Calibri" w:hAnsi="Calibri"/>
                <w:color w:val="000000"/>
                <w:sz w:val="22"/>
                <w:szCs w:val="22"/>
              </w:rPr>
              <w:t xml:space="preserve"/>
            </w:r>
          </w:p>
        </w:tc>
        <w:tc>
          <w:tcPr>
            <w:tcW w:type="dxa" w:w="5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jc w:val="center"/>
            </w:pPr>
            <w:r>
              <w:rPr>
                <w:rFonts w:ascii="Calibri" w:cs="Calibri" w:eastAsia="Calibri" w:hAnsi="Calibri"/>
                <w:b/>
                <w:bCs/>
                <w:color w:val="1E2761"/>
                <w:sz w:val="22"/>
                <w:szCs w:val="22"/>
              </w:rPr>
              <w:t xml:space="preserve">│</w:t>
            </w:r>
          </w:p>
        </w:tc>
        <w:tc>
          <w:tcPr>
            <w:tcW w:type="dxa" w:w="7706"/>
            <w:tcBorders>
              <w:top w:val="single" w:color="B9C6E8" w:sz="6"/>
              <w:left w:val="single" w:color="B9C6E8" w:sz="6"/>
              <w:bottom w:val="single" w:color="B9C6E8" w:sz="6"/>
              <w:right w:val="single" w:color="B9C6E8" w:sz="6"/>
            </w:tcBorders>
            <w:shd w:fill="F4F7FD" w:color="auto" w:val="clear"/>
            <w:tcMar>
              <w:top w:type="dxa" w:w="30"/>
              <w:left w:type="dxa" w:w="140"/>
              <w:bottom w:type="dxa" w:w="30"/>
              <w:right w:type="dxa" w:w="140"/>
            </w:tcMar>
            <w:vAlign w:val="center"/>
          </w:tcPr>
          <w:p>
            <w:pPr>
              <w:spacing w:after="0" w:before="0"/>
            </w:pPr>
            <w:r>
              <w:rPr>
                <w:rFonts w:ascii="Calibri" w:cs="Calibri" w:eastAsia="Calibri" w:hAnsi="Calibri"/>
                <w:color w:val="000000"/>
                <w:sz w:val="22"/>
                <w:szCs w:val="22"/>
              </w:rPr>
              <w:t xml:space="preserve">Die Abgeordneten werden gewählt. Die Menschen schreiben ihre Beschwerdehefte.</w:t>
            </w:r>
          </w:p>
        </w:tc>
      </w:tr>
      <w:tr>
        <w:trPr>
          <w:cantSplit/>
          <w:trHeight w:val="680" w:hRule="atLeast"/>
        </w:trPr>
        <w:tc>
          <w:tcPr>
            <w:tcW w:type="dxa" w:w="2000"/>
            <w:tcBorders>
              <w:top w:val="none" w:color="FFFFFF" w:sz="0"/>
              <w:left w:val="none" w:color="FFFFFF" w:sz="0"/>
              <w:bottom w:val="single" w:color="8A96B5" w:sz="8"/>
              <w:right w:val="none" w:color="FFFFFF" w:sz="0"/>
            </w:tcBorders>
            <w:tcMar>
              <w:top w:type="dxa" w:w="20"/>
              <w:left w:type="dxa" w:w="80"/>
              <w:bottom w:type="dxa" w:w="20"/>
              <w:right w:type="dxa" w:w="120"/>
            </w:tcMar>
            <w:vAlign w:val="bottom"/>
          </w:tcPr>
          <w:p>
            <w:pPr>
              <w:spacing w:after="0" w:before="0"/>
            </w:pPr>
            <w:r>
              <w:rPr>
                <w:rFonts w:ascii="Calibri" w:cs="Calibri" w:eastAsia="Calibri" w:hAnsi="Calibri"/>
                <w:color w:val="000000"/>
                <w:sz w:val="22"/>
                <w:szCs w:val="22"/>
              </w:rPr>
              <w:t xml:space="preserve"/>
            </w:r>
          </w:p>
        </w:tc>
        <w:tc>
          <w:tcPr>
            <w:tcW w:type="dxa" w:w="5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jc w:val="center"/>
            </w:pPr>
            <w:r>
              <w:rPr>
                <w:rFonts w:ascii="Calibri" w:cs="Calibri" w:eastAsia="Calibri" w:hAnsi="Calibri"/>
                <w:b/>
                <w:bCs/>
                <w:color w:val="1E2761"/>
                <w:sz w:val="22"/>
                <w:szCs w:val="22"/>
              </w:rPr>
              <w:t xml:space="preserve">▲</w:t>
            </w:r>
          </w:p>
        </w:tc>
        <w:tc>
          <w:tcPr>
            <w:tcW w:type="dxa" w:w="7706"/>
            <w:tcBorders>
              <w:top w:val="single" w:color="B9C6E8" w:sz="6"/>
              <w:left w:val="single" w:color="B9C6E8" w:sz="6"/>
              <w:bottom w:val="single" w:color="B9C6E8" w:sz="6"/>
              <w:right w:val="single" w:color="B9C6E8" w:sz="6"/>
            </w:tcBorders>
            <w:shd w:fill="EAF0FA" w:color="auto" w:val="clear"/>
            <w:tcMar>
              <w:top w:type="dxa" w:w="30"/>
              <w:left w:type="dxa" w:w="140"/>
              <w:bottom w:type="dxa" w:w="30"/>
              <w:right w:type="dxa" w:w="140"/>
            </w:tcMar>
            <w:vAlign w:val="center"/>
          </w:tcPr>
          <w:p>
            <w:pPr>
              <w:spacing w:after="0" w:before="0"/>
            </w:pPr>
            <w:r>
              <w:rPr>
                <w:rFonts w:ascii="Calibri" w:cs="Calibri" w:eastAsia="Calibri" w:hAnsi="Calibri"/>
                <w:color w:val="000000"/>
                <w:sz w:val="22"/>
                <w:szCs w:val="22"/>
              </w:rPr>
              <w:t xml:space="preserve">Der König eröffnet die Generalstände in Versailles.</w:t>
            </w:r>
          </w:p>
        </w:tc>
      </w:tr>
    </w:tbl>
    <w:sectPr>
      <w:footerReference w:type="default" r:id="rId6"/>
      <w:pgSz w:w="11906" w:h="16838" w:orient="portrait"/>
      <w:pgMar w:top="650" w:right="850" w:bottom="600" w:left="8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B6B8C"/>
        <w:sz w:val="16"/>
        <w:szCs w:val="16"/>
      </w:rPr>
      <w:t xml:space="preserve">Geschichte 8 · Französische Revolution · Seite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2026-10-15T17:38:27.592Z</dcterms:created>
  <dcterms:modified xsi:type="dcterms:W3CDTF">2026-10-15T17:38:27.609Z</dcterms:modified>
</cp:coreProperties>
</file>

<file path=docProps/custom.xml><?xml version="1.0" encoding="utf-8"?>
<Properties xmlns="http://schemas.openxmlformats.org/officeDocument/2006/custom-properties" xmlns:vt="http://schemas.openxmlformats.org/officeDocument/2006/docPropsVTypes"/>
</file>