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20"/>
                <w:szCs w:val="120"/>
              </w:rPr>
              <w:t xml:space="preserve">◄  verliert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C783C"/>
                <w:sz w:val="120"/>
                <w:szCs w:val="120"/>
              </w:rPr>
              <w:t xml:space="preserve">gewinnt  ►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Kleinbauer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Großgrundbesitzer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(adlig)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Reicher Händler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(nicht adlig)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Verarmter Adliger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96"/>
                <w:szCs w:val="96"/>
              </w:rPr>
              <w:t xml:space="preserve">Zurückgekaufter Schuldsklave</w:t>
            </w:r>
          </w:p>
        </w:tc>
      </w:tr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Tagelöhner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(Thete)</w:t>
            </w:r>
          </w:p>
        </w:tc>
      </w:tr>
    </w:tbl>
    <w:p>
      <w:pPr>
        <w:sectPr>
          <w:pgSz w:w="16838" w:h="11906" w:orient="landscape"/>
          <w:pgMar w:top="850" w:right="850" w:bottom="600" w:left="850" w:header="708" w:footer="708" w:gutter="0"/>
          <w:pgNumType/>
          <w:docGrid w:linePitch="360"/>
        </w:sectPr>
      </w:pPr>
    </w:p>
    <w:tbl>
      <w:tblPr>
        <w:tblW w:type="dxa" w:w="149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8"/>
      </w:tblGrid>
      <w:tr>
        <w:trPr>
          <w:cantSplit/>
          <w:trHeight w:val="4400" w:hRule="exact"/>
        </w:trPr>
        <w:tc>
          <w:tcPr>
            <w:tcW w:type="dxa" w:w="14988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20"/>
                <w:szCs w:val="120"/>
              </w:rPr>
              <w:t xml:space="preserve">Frau eines Bürgers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5A5044"/>
                <w:sz w:val="56"/>
                <w:szCs w:val="56"/>
              </w:rPr>
              <w:t xml:space="preserve">(optional)</w:t>
            </w:r>
          </w:p>
        </w:tc>
      </w:tr>
    </w:tbl>
    <w:sectPr>
      <w:pgSz w:w="16838" w:h="11906" w:orient="landscape"/>
      <w:pgMar w:top="85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2026-09-30T09:43:57.554Z</dcterms:created>
  <dcterms:modified xsi:type="dcterms:W3CDTF">2026-09-30T09:43:57.555Z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