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b/>
          <w:bCs/>
          <w:color w:val="AD4426"/>
          <w:sz w:val="16"/>
          <w:szCs w:val="16"/>
        </w:rPr>
        <w:t xml:space="preserve">LEHRKRAFT · GESCHICHTE KLASSE 11 · BM 2</w:t>
      </w:r>
    </w:p>
    <w:p>
      <w:pPr>
        <w:spacing w:after="160"/>
      </w:pPr>
      <w:r>
        <w:rPr>
          <w:rFonts w:ascii="Cambria" w:cs="Cambria" w:eastAsia="Cambria" w:hAnsi="Cambria"/>
          <w:b/>
          <w:bCs/>
          <w:color w:val="2B2318"/>
          <w:sz w:val="32"/>
          <w:szCs w:val="32"/>
        </w:rPr>
        <w:t xml:space="preserve">Verlaufsplan: Sach- und Werturteil (45 Min.)</w:t>
      </w:r>
    </w:p>
    <w:p>
      <w:pPr>
        <w:spacing w:after="100" w:before="0"/>
      </w:pPr>
      <w:r>
        <w:rPr>
          <w:b/>
          <w:bCs/>
          <w:sz w:val="20"/>
          <w:szCs w:val="20"/>
        </w:rPr>
        <w:t xml:space="preserve">Lernziel:</w:t>
      </w:r>
      <w:r>
        <w:rPr>
          <w:sz w:val="20"/>
          <w:szCs w:val="20"/>
        </w:rPr>
        <w:t xml:space="preserve"> Die SuS unterscheiden Beschreibung, Sachurteil und Werturteil anhand von Kriterien und formulieren selbst begründete Sach- und Werturteile.</w:t>
      </w:r>
    </w:p>
    <w:p>
      <w:pPr>
        <w:spacing w:after="160" w:before="0"/>
      </w:pPr>
      <w:r>
        <w:rPr>
          <w:b/>
          <w:bCs/>
          <w:sz w:val="20"/>
          <w:szCs w:val="20"/>
        </w:rPr>
        <w:t xml:space="preserve">Curriculum:</w:t>
      </w:r>
      <w:r>
        <w:rPr>
          <w:sz w:val="20"/>
          <w:szCs w:val="20"/>
        </w:rPr>
        <w:t xml:space="preserve"> BM 2, „Unterscheidung von Sach- und Werturteil (Urteilskompetenz)“. Vorbereitung auf die Doppelstunde zu Drakon und Solon.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20"/>
        <w:gridCol w:w="1480"/>
        <w:gridCol w:w="4038"/>
        <w:gridCol w:w="1500"/>
        <w:gridCol w:w="1700"/>
      </w:tblGrid>
      <w:tr>
        <w:trPr>
          <w:tblHeader/>
        </w:trPr>
        <w:tc>
          <w:tcPr>
            <w:tcW w:type="dxa" w:w="920"/>
            <w:tcBorders>
              <w:top w:val="single" w:color="BFB5A5" w:sz="4"/>
              <w:left w:val="single" w:color="BFB5A5" w:sz="4"/>
              <w:bottom w:val="single" w:color="BFB5A5" w:sz="4"/>
              <w:right w:val="single" w:color="BFB5A5" w:sz="4"/>
            </w:tcBorders>
            <w:shd w:fill="2B2318" w:color="auto" w:val="clear"/>
            <w:tcMar>
              <w:top w:type="dxa" w:w="80"/>
              <w:left w:type="dxa" w:w="110"/>
              <w:bottom w:type="dxa" w:w="80"/>
              <w:right w:type="dxa" w:w="110"/>
            </w:tcMar>
          </w:tcPr>
          <w:p>
            <w:pPr>
              <w:spacing w:after="0" w:before="0"/>
            </w:pPr>
            <w:r>
              <w:rPr>
                <w:b/>
                <w:bCs/>
                <w:color w:val="FFFFFF"/>
                <w:sz w:val="19"/>
                <w:szCs w:val="19"/>
              </w:rPr>
              <w:t xml:space="preserve">Zeit</w:t>
            </w:r>
          </w:p>
        </w:tc>
        <w:tc>
          <w:tcPr>
            <w:tcW w:type="dxa" w:w="1480"/>
            <w:tcBorders>
              <w:top w:val="single" w:color="BFB5A5" w:sz="4"/>
              <w:left w:val="single" w:color="BFB5A5" w:sz="4"/>
              <w:bottom w:val="single" w:color="BFB5A5" w:sz="4"/>
              <w:right w:val="single" w:color="BFB5A5" w:sz="4"/>
            </w:tcBorders>
            <w:shd w:fill="2B2318" w:color="auto" w:val="clear"/>
            <w:tcMar>
              <w:top w:type="dxa" w:w="80"/>
              <w:left w:type="dxa" w:w="110"/>
              <w:bottom w:type="dxa" w:w="80"/>
              <w:right w:type="dxa" w:w="110"/>
            </w:tcMar>
          </w:tcPr>
          <w:p>
            <w:pPr>
              <w:spacing w:after="0" w:before="0"/>
            </w:pPr>
            <w:r>
              <w:rPr>
                <w:b/>
                <w:bCs/>
                <w:color w:val="FFFFFF"/>
                <w:sz w:val="19"/>
                <w:szCs w:val="19"/>
              </w:rPr>
              <w:t xml:space="preserve">Phase</w:t>
            </w:r>
          </w:p>
        </w:tc>
        <w:tc>
          <w:tcPr>
            <w:tcW w:type="dxa" w:w="4038"/>
            <w:tcBorders>
              <w:top w:val="single" w:color="BFB5A5" w:sz="4"/>
              <w:left w:val="single" w:color="BFB5A5" w:sz="4"/>
              <w:bottom w:val="single" w:color="BFB5A5" w:sz="4"/>
              <w:right w:val="single" w:color="BFB5A5" w:sz="4"/>
            </w:tcBorders>
            <w:shd w:fill="2B2318" w:color="auto" w:val="clear"/>
            <w:tcMar>
              <w:top w:type="dxa" w:w="80"/>
              <w:left w:type="dxa" w:w="110"/>
              <w:bottom w:type="dxa" w:w="80"/>
              <w:right w:type="dxa" w:w="110"/>
            </w:tcMar>
          </w:tcPr>
          <w:p>
            <w:pPr>
              <w:spacing w:after="0" w:before="0"/>
            </w:pPr>
            <w:r>
              <w:rPr>
                <w:b/>
                <w:bCs/>
                <w:color w:val="FFFFFF"/>
                <w:sz w:val="19"/>
                <w:szCs w:val="19"/>
              </w:rPr>
              <w:t xml:space="preserve">Ablauf</w:t>
            </w:r>
          </w:p>
        </w:tc>
        <w:tc>
          <w:tcPr>
            <w:tcW w:type="dxa" w:w="1500"/>
            <w:tcBorders>
              <w:top w:val="single" w:color="BFB5A5" w:sz="4"/>
              <w:left w:val="single" w:color="BFB5A5" w:sz="4"/>
              <w:bottom w:val="single" w:color="BFB5A5" w:sz="4"/>
              <w:right w:val="single" w:color="BFB5A5" w:sz="4"/>
            </w:tcBorders>
            <w:shd w:fill="2B2318" w:color="auto" w:val="clear"/>
            <w:tcMar>
              <w:top w:type="dxa" w:w="80"/>
              <w:left w:type="dxa" w:w="110"/>
              <w:bottom w:type="dxa" w:w="80"/>
              <w:right w:type="dxa" w:w="110"/>
            </w:tcMar>
          </w:tcPr>
          <w:p>
            <w:pPr>
              <w:spacing w:after="0" w:before="0"/>
            </w:pPr>
            <w:r>
              <w:rPr>
                <w:b/>
                <w:bCs/>
                <w:color w:val="FFFFFF"/>
                <w:sz w:val="19"/>
                <w:szCs w:val="19"/>
              </w:rPr>
              <w:t xml:space="preserve">Sozialform</w:t>
            </w:r>
          </w:p>
        </w:tc>
        <w:tc>
          <w:tcPr>
            <w:tcW w:type="dxa" w:w="1700"/>
            <w:tcBorders>
              <w:top w:val="single" w:color="BFB5A5" w:sz="4"/>
              <w:left w:val="single" w:color="BFB5A5" w:sz="4"/>
              <w:bottom w:val="single" w:color="BFB5A5" w:sz="4"/>
              <w:right w:val="single" w:color="BFB5A5" w:sz="4"/>
            </w:tcBorders>
            <w:shd w:fill="2B2318" w:color="auto" w:val="clear"/>
            <w:tcMar>
              <w:top w:type="dxa" w:w="80"/>
              <w:left w:type="dxa" w:w="110"/>
              <w:bottom w:type="dxa" w:w="80"/>
              <w:right w:type="dxa" w:w="110"/>
            </w:tcMar>
          </w:tcPr>
          <w:p>
            <w:pPr>
              <w:spacing w:after="0" w:before="0"/>
            </w:pPr>
            <w:r>
              <w:rPr>
                <w:b/>
                <w:bCs/>
                <w:color w:val="FFFFFF"/>
                <w:sz w:val="19"/>
                <w:szCs w:val="19"/>
              </w:rPr>
              <w:t xml:space="preserve">Material</w:t>
            </w:r>
          </w:p>
        </w:tc>
      </w:tr>
      <w:tr>
        <w:trPr>
          <w:cantSplit/>
        </w:trPr>
        <w:tc>
          <w:tcPr>
            <w:tcW w:type="dxa" w:w="920"/>
            <w:tcBorders>
              <w:top w:val="single" w:color="BFB5A5" w:sz="4"/>
              <w:left w:val="single" w:color="BFB5A5" w:sz="4"/>
              <w:bottom w:val="single" w:color="BFB5A5" w:sz="4"/>
              <w:right w:val="single" w:color="BFB5A5" w:sz="4"/>
            </w:tcBorders>
            <w:shd w:fill="F4ECDE" w:color="auto" w:val="clear"/>
            <w:tcMar>
              <w:top w:type="dxa" w:w="80"/>
              <w:left w:type="dxa" w:w="110"/>
              <w:bottom w:type="dxa" w:w="80"/>
              <w:right w:type="dxa" w:w="110"/>
            </w:tcMar>
          </w:tcPr>
          <w:p>
            <w:pPr>
              <w:spacing w:after="0" w:before="0"/>
            </w:pPr>
            <w:r>
              <w:rPr>
                <w:b w:val="false"/>
                <w:bCs w:val="false"/>
                <w:sz w:val="19"/>
                <w:szCs w:val="19"/>
              </w:rPr>
              <w:t xml:space="preserve">0–7</w:t>
            </w:r>
          </w:p>
        </w:tc>
        <w:tc>
          <w:tcPr>
            <w:tcW w:type="dxa" w:w="1480"/>
            <w:tcBorders>
              <w:top w:val="single" w:color="BFB5A5" w:sz="4"/>
              <w:left w:val="single" w:color="BFB5A5" w:sz="4"/>
              <w:bottom w:val="single" w:color="BFB5A5" w:sz="4"/>
              <w:right w:val="single" w:color="BFB5A5" w:sz="4"/>
            </w:tcBorders>
            <w:tcMar>
              <w:top w:type="dxa" w:w="80"/>
              <w:left w:type="dxa" w:w="110"/>
              <w:bottom w:type="dxa" w:w="80"/>
              <w:right w:type="dxa" w:w="110"/>
            </w:tcMar>
          </w:tcPr>
          <w:p>
            <w:pPr>
              <w:spacing w:after="0" w:before="0"/>
            </w:pPr>
            <w:r>
              <w:rPr>
                <w:b/>
                <w:bCs/>
                <w:sz w:val="19"/>
                <w:szCs w:val="19"/>
              </w:rPr>
              <w:t xml:space="preserve">Einstieg</w:t>
            </w:r>
          </w:p>
        </w:tc>
        <w:tc>
          <w:tcPr>
            <w:tcW w:type="dxa" w:w="4038"/>
            <w:tcBorders>
              <w:top w:val="single" w:color="BFB5A5" w:sz="4"/>
              <w:left w:val="single" w:color="BFB5A5" w:sz="4"/>
              <w:bottom w:val="single" w:color="BFB5A5" w:sz="4"/>
              <w:right w:val="single" w:color="BFB5A5" w:sz="4"/>
            </w:tcBorders>
            <w:tcMar>
              <w:top w:type="dxa" w:w="80"/>
              <w:left w:type="dxa" w:w="110"/>
              <w:bottom w:type="dxa" w:w="80"/>
              <w:right w:type="dxa" w:w="110"/>
            </w:tcMar>
          </w:tcPr>
          <w:p>
            <w:pPr>
              <w:spacing w:after="0" w:before="0"/>
            </w:pPr>
            <w:r>
              <w:rPr>
                <w:b/>
                <w:bCs/>
                <w:sz w:val="19"/>
                <w:szCs w:val="19"/>
              </w:rPr>
              <w:t xml:space="preserve">Stummer Impuls:</w:t>
            </w:r>
            <w:r>
              <w:rPr>
                <w:b w:val="false"/>
                <w:bCs w:val="false"/>
                <w:sz w:val="19"/>
                <w:szCs w:val="19"/>
              </w:rPr>
              <w:t xml:space="preserve"> Folie 2 zeigt drei Sätze zur Kindesaussetzung. SuS notieren 2 Min. still: </w:t>
            </w:r>
            <w:r>
              <w:rPr>
                <w:b/>
                <w:bCs/>
                <w:sz w:val="19"/>
                <w:szCs w:val="19"/>
              </w:rPr>
              <w:t xml:space="preserve">Was unterscheidet diese Sätze?</w:t>
            </w:r>
            <w:r>
              <w:rPr>
                <w:b w:val="false"/>
                <w:bCs w:val="false"/>
                <w:sz w:val="19"/>
                <w:szCs w:val="19"/>
              </w:rPr>
              <w:t xml:space="preserve"> Dann 3 Min. Austausch mit dem Sitznachbarn. </w:t>
            </w:r>
            <w:r>
              <w:rPr>
                <w:b/>
                <w:bCs/>
                <w:sz w:val="19"/>
                <w:szCs w:val="19"/>
              </w:rPr>
              <w:t xml:space="preserve">Keine</w:t>
            </w:r>
            <w:r>
              <w:rPr>
                <w:b w:val="false"/>
                <w:bCs w:val="false"/>
                <w:sz w:val="19"/>
                <w:szCs w:val="19"/>
              </w:rPr>
              <w:t xml:space="preserve"> Plenumsbesprechung.</w:t>
            </w:r>
          </w:p>
        </w:tc>
        <w:tc>
          <w:tcPr>
            <w:tcW w:type="dxa" w:w="1500"/>
            <w:tcBorders>
              <w:top w:val="single" w:color="BFB5A5" w:sz="4"/>
              <w:left w:val="single" w:color="BFB5A5" w:sz="4"/>
              <w:bottom w:val="single" w:color="BFB5A5" w:sz="4"/>
              <w:right w:val="single" w:color="BFB5A5" w:sz="4"/>
            </w:tcBorders>
            <w:tcMar>
              <w:top w:type="dxa" w:w="80"/>
              <w:left w:type="dxa" w:w="110"/>
              <w:bottom w:type="dxa" w:w="80"/>
              <w:right w:type="dxa" w:w="110"/>
            </w:tcMar>
          </w:tcPr>
          <w:p>
            <w:pPr>
              <w:spacing w:after="0" w:before="0"/>
            </w:pPr>
            <w:r>
              <w:rPr>
                <w:b w:val="false"/>
                <w:bCs w:val="false"/>
                <w:sz w:val="19"/>
                <w:szCs w:val="19"/>
              </w:rPr>
              <w:t xml:space="preserve">EA → PA</w:t>
            </w:r>
          </w:p>
        </w:tc>
        <w:tc>
          <w:tcPr>
            <w:tcW w:type="dxa" w:w="1700"/>
            <w:tcBorders>
              <w:top w:val="single" w:color="BFB5A5" w:sz="4"/>
              <w:left w:val="single" w:color="BFB5A5" w:sz="4"/>
              <w:bottom w:val="single" w:color="BFB5A5" w:sz="4"/>
              <w:right w:val="single" w:color="BFB5A5" w:sz="4"/>
            </w:tcBorders>
            <w:tcMar>
              <w:top w:type="dxa" w:w="80"/>
              <w:left w:type="dxa" w:w="110"/>
              <w:bottom w:type="dxa" w:w="80"/>
              <w:right w:type="dxa" w:w="110"/>
            </w:tcMar>
          </w:tcPr>
          <w:p>
            <w:pPr>
              <w:spacing w:after="0" w:before="0"/>
            </w:pPr>
            <w:r>
              <w:rPr>
                <w:b w:val="false"/>
                <w:bCs w:val="false"/>
                <w:sz w:val="19"/>
                <w:szCs w:val="19"/>
              </w:rPr>
              <w:t xml:space="preserve">Folie 2</w:t>
            </w:r>
          </w:p>
        </w:tc>
      </w:tr>
      <w:tr>
        <w:trPr>
          <w:cantSplit/>
        </w:trPr>
        <w:tc>
          <w:tcPr>
            <w:tcW w:type="dxa" w:w="920"/>
            <w:tcBorders>
              <w:top w:val="single" w:color="BFB5A5" w:sz="4"/>
              <w:left w:val="single" w:color="BFB5A5" w:sz="4"/>
              <w:bottom w:val="single" w:color="BFB5A5" w:sz="4"/>
              <w:right w:val="single" w:color="BFB5A5" w:sz="4"/>
            </w:tcBorders>
            <w:shd w:fill="F4ECDE" w:color="auto" w:val="clear"/>
            <w:tcMar>
              <w:top w:type="dxa" w:w="80"/>
              <w:left w:type="dxa" w:w="110"/>
              <w:bottom w:type="dxa" w:w="80"/>
              <w:right w:type="dxa" w:w="110"/>
            </w:tcMar>
          </w:tcPr>
          <w:p>
            <w:pPr>
              <w:spacing w:after="0" w:before="0"/>
            </w:pPr>
            <w:r>
              <w:rPr>
                <w:b w:val="false"/>
                <w:bCs w:val="false"/>
                <w:sz w:val="19"/>
                <w:szCs w:val="19"/>
              </w:rPr>
              <w:t xml:space="preserve">7–15</w:t>
            </w:r>
          </w:p>
        </w:tc>
        <w:tc>
          <w:tcPr>
            <w:tcW w:type="dxa" w:w="1480"/>
            <w:tcBorders>
              <w:top w:val="single" w:color="BFB5A5" w:sz="4"/>
              <w:left w:val="single" w:color="BFB5A5" w:sz="4"/>
              <w:bottom w:val="single" w:color="BFB5A5" w:sz="4"/>
              <w:right w:val="single" w:color="BFB5A5" w:sz="4"/>
            </w:tcBorders>
            <w:tcMar>
              <w:top w:type="dxa" w:w="80"/>
              <w:left w:type="dxa" w:w="110"/>
              <w:bottom w:type="dxa" w:w="80"/>
              <w:right w:type="dxa" w:w="110"/>
            </w:tcMar>
          </w:tcPr>
          <w:p>
            <w:pPr>
              <w:spacing w:after="0" w:before="0"/>
            </w:pPr>
            <w:r>
              <w:rPr>
                <w:b/>
                <w:bCs/>
                <w:sz w:val="19"/>
                <w:szCs w:val="19"/>
              </w:rPr>
              <w:t xml:space="preserve">Erarbeitung</w:t>
            </w:r>
          </w:p>
        </w:tc>
        <w:tc>
          <w:tcPr>
            <w:tcW w:type="dxa" w:w="4038"/>
            <w:tcBorders>
              <w:top w:val="single" w:color="BFB5A5" w:sz="4"/>
              <w:left w:val="single" w:color="BFB5A5" w:sz="4"/>
              <w:bottom w:val="single" w:color="BFB5A5" w:sz="4"/>
              <w:right w:val="single" w:color="BFB5A5" w:sz="4"/>
            </w:tcBorders>
            <w:tcMar>
              <w:top w:type="dxa" w:w="80"/>
              <w:left w:type="dxa" w:w="110"/>
              <w:bottom w:type="dxa" w:w="80"/>
              <w:right w:type="dxa" w:w="110"/>
            </w:tcMar>
          </w:tcPr>
          <w:p>
            <w:pPr>
              <w:spacing w:after="0" w:before="0"/>
            </w:pPr>
            <w:r>
              <w:rPr>
                <w:b/>
                <w:bCs/>
                <w:sz w:val="19"/>
                <w:szCs w:val="19"/>
              </w:rPr>
              <w:t xml:space="preserve">Begriffe klären:</w:t>
            </w:r>
            <w:r>
              <w:rPr>
                <w:b w:val="false"/>
                <w:bCs w:val="false"/>
                <w:sz w:val="19"/>
                <w:szCs w:val="19"/>
              </w:rPr>
              <w:t xml:space="preserve"> Paare geben den drei Satztypen eigene Namen und notieren 2–3 Erkennungsmerkmale. Anschließend Abgleich mit M1. Ein Paar wird ausgelost (1 Min.): Was davon hattet ihr schon selbst herausgefunden?</w:t>
            </w:r>
          </w:p>
        </w:tc>
        <w:tc>
          <w:tcPr>
            <w:tcW w:type="dxa" w:w="1500"/>
            <w:tcBorders>
              <w:top w:val="single" w:color="BFB5A5" w:sz="4"/>
              <w:left w:val="single" w:color="BFB5A5" w:sz="4"/>
              <w:bottom w:val="single" w:color="BFB5A5" w:sz="4"/>
              <w:right w:val="single" w:color="BFB5A5" w:sz="4"/>
            </w:tcBorders>
            <w:tcMar>
              <w:top w:type="dxa" w:w="80"/>
              <w:left w:type="dxa" w:w="110"/>
              <w:bottom w:type="dxa" w:w="80"/>
              <w:right w:type="dxa" w:w="110"/>
            </w:tcMar>
          </w:tcPr>
          <w:p>
            <w:pPr>
              <w:spacing w:after="0" w:before="0"/>
            </w:pPr>
            <w:r>
              <w:rPr>
                <w:b w:val="false"/>
                <w:bCs w:val="false"/>
                <w:sz w:val="19"/>
                <w:szCs w:val="19"/>
              </w:rPr>
              <w:t xml:space="preserve">PA</w:t>
            </w:r>
          </w:p>
        </w:tc>
        <w:tc>
          <w:tcPr>
            <w:tcW w:type="dxa" w:w="1700"/>
            <w:tcBorders>
              <w:top w:val="single" w:color="BFB5A5" w:sz="4"/>
              <w:left w:val="single" w:color="BFB5A5" w:sz="4"/>
              <w:bottom w:val="single" w:color="BFB5A5" w:sz="4"/>
              <w:right w:val="single" w:color="BFB5A5" w:sz="4"/>
            </w:tcBorders>
            <w:tcMar>
              <w:top w:type="dxa" w:w="80"/>
              <w:left w:type="dxa" w:w="110"/>
              <w:bottom w:type="dxa" w:w="80"/>
              <w:right w:type="dxa" w:w="110"/>
            </w:tcMar>
          </w:tcPr>
          <w:p>
            <w:pPr>
              <w:spacing w:after="0" w:before="0"/>
            </w:pPr>
            <w:r>
              <w:rPr>
                <w:b w:val="false"/>
                <w:bCs w:val="false"/>
                <w:sz w:val="19"/>
                <w:szCs w:val="19"/>
              </w:rPr>
              <w:t xml:space="preserve">Folie 3, M1</w:t>
            </w:r>
          </w:p>
        </w:tc>
      </w:tr>
      <w:tr>
        <w:trPr>
          <w:cantSplit/>
        </w:trPr>
        <w:tc>
          <w:tcPr>
            <w:tcW w:type="dxa" w:w="920"/>
            <w:tcBorders>
              <w:top w:val="single" w:color="BFB5A5" w:sz="4"/>
              <w:left w:val="single" w:color="BFB5A5" w:sz="4"/>
              <w:bottom w:val="single" w:color="BFB5A5" w:sz="4"/>
              <w:right w:val="single" w:color="BFB5A5" w:sz="4"/>
            </w:tcBorders>
            <w:shd w:fill="F4ECDE" w:color="auto" w:val="clear"/>
            <w:tcMar>
              <w:top w:type="dxa" w:w="80"/>
              <w:left w:type="dxa" w:w="110"/>
              <w:bottom w:type="dxa" w:w="80"/>
              <w:right w:type="dxa" w:w="110"/>
            </w:tcMar>
          </w:tcPr>
          <w:p>
            <w:pPr>
              <w:spacing w:after="0" w:before="0"/>
            </w:pPr>
            <w:r>
              <w:rPr>
                <w:b w:val="false"/>
                <w:bCs w:val="false"/>
                <w:sz w:val="19"/>
                <w:szCs w:val="19"/>
              </w:rPr>
              <w:t xml:space="preserve">15–27</w:t>
            </w:r>
          </w:p>
        </w:tc>
        <w:tc>
          <w:tcPr>
            <w:tcW w:type="dxa" w:w="1480"/>
            <w:tcBorders>
              <w:top w:val="single" w:color="BFB5A5" w:sz="4"/>
              <w:left w:val="single" w:color="BFB5A5" w:sz="4"/>
              <w:bottom w:val="single" w:color="BFB5A5" w:sz="4"/>
              <w:right w:val="single" w:color="BFB5A5" w:sz="4"/>
            </w:tcBorders>
            <w:tcMar>
              <w:top w:type="dxa" w:w="80"/>
              <w:left w:type="dxa" w:w="110"/>
              <w:bottom w:type="dxa" w:w="80"/>
              <w:right w:type="dxa" w:w="110"/>
            </w:tcMar>
          </w:tcPr>
          <w:p>
            <w:pPr>
              <w:spacing w:after="0" w:before="0"/>
            </w:pPr>
            <w:r>
              <w:rPr>
                <w:b/>
                <w:bCs/>
                <w:sz w:val="19"/>
                <w:szCs w:val="19"/>
              </w:rPr>
              <w:t xml:space="preserve">Übung</w:t>
            </w:r>
          </w:p>
        </w:tc>
        <w:tc>
          <w:tcPr>
            <w:tcW w:type="dxa" w:w="4038"/>
            <w:tcBorders>
              <w:top w:val="single" w:color="BFB5A5" w:sz="4"/>
              <w:left w:val="single" w:color="BFB5A5" w:sz="4"/>
              <w:bottom w:val="single" w:color="BFB5A5" w:sz="4"/>
              <w:right w:val="single" w:color="BFB5A5" w:sz="4"/>
            </w:tcBorders>
            <w:tcMar>
              <w:top w:type="dxa" w:w="80"/>
              <w:left w:type="dxa" w:w="110"/>
              <w:bottom w:type="dxa" w:w="80"/>
              <w:right w:type="dxa" w:w="110"/>
            </w:tcMar>
          </w:tcPr>
          <w:p>
            <w:pPr>
              <w:spacing w:after="0" w:before="0"/>
            </w:pPr>
            <w:r>
              <w:rPr>
                <w:b/>
                <w:bCs/>
                <w:sz w:val="19"/>
                <w:szCs w:val="19"/>
              </w:rPr>
              <w:t xml:space="preserve">Sortieren:</w:t>
            </w:r>
            <w:r>
              <w:rPr>
                <w:b w:val="false"/>
                <w:bCs w:val="false"/>
                <w:sz w:val="19"/>
                <w:szCs w:val="19"/>
              </w:rPr>
              <w:t xml:space="preserve"> Kartensortierung M2 (12 Aussagen, je 4 pro Kategorie). Unsichere Karten quer legen. Selbstkontrolle mit Folie 5. Im Plenum </w:t>
            </w:r>
            <w:r>
              <w:rPr>
                <w:b/>
                <w:bCs/>
                <w:sz w:val="19"/>
                <w:szCs w:val="19"/>
              </w:rPr>
              <w:t xml:space="preserve">nur</w:t>
            </w:r>
            <w:r>
              <w:rPr>
                <w:b w:val="false"/>
                <w:bCs w:val="false"/>
                <w:sz w:val="19"/>
                <w:szCs w:val="19"/>
              </w:rPr>
              <w:t xml:space="preserve"> die strittigen Karten H und D sowie die Vergleiche A↔G und D↔K besprechen (ca. 3 Min., Folie 6).</w:t>
            </w:r>
          </w:p>
        </w:tc>
        <w:tc>
          <w:tcPr>
            <w:tcW w:type="dxa" w:w="1500"/>
            <w:tcBorders>
              <w:top w:val="single" w:color="BFB5A5" w:sz="4"/>
              <w:left w:val="single" w:color="BFB5A5" w:sz="4"/>
              <w:bottom w:val="single" w:color="BFB5A5" w:sz="4"/>
              <w:right w:val="single" w:color="BFB5A5" w:sz="4"/>
            </w:tcBorders>
            <w:tcMar>
              <w:top w:type="dxa" w:w="80"/>
              <w:left w:type="dxa" w:w="110"/>
              <w:bottom w:type="dxa" w:w="80"/>
              <w:right w:type="dxa" w:w="110"/>
            </w:tcMar>
          </w:tcPr>
          <w:p>
            <w:pPr>
              <w:spacing w:after="0" w:before="0"/>
            </w:pPr>
            <w:r>
              <w:rPr>
                <w:b w:val="false"/>
                <w:bCs w:val="false"/>
                <w:sz w:val="19"/>
                <w:szCs w:val="19"/>
              </w:rPr>
              <w:t xml:space="preserve">PA, kurzes Plenum</w:t>
            </w:r>
          </w:p>
        </w:tc>
        <w:tc>
          <w:tcPr>
            <w:tcW w:type="dxa" w:w="1700"/>
            <w:tcBorders>
              <w:top w:val="single" w:color="BFB5A5" w:sz="4"/>
              <w:left w:val="single" w:color="BFB5A5" w:sz="4"/>
              <w:bottom w:val="single" w:color="BFB5A5" w:sz="4"/>
              <w:right w:val="single" w:color="BFB5A5" w:sz="4"/>
            </w:tcBorders>
            <w:tcMar>
              <w:top w:type="dxa" w:w="80"/>
              <w:left w:type="dxa" w:w="110"/>
              <w:bottom w:type="dxa" w:w="80"/>
              <w:right w:type="dxa" w:w="110"/>
            </w:tcMar>
          </w:tcPr>
          <w:p>
            <w:pPr>
              <w:spacing w:after="0" w:before="0"/>
            </w:pPr>
            <w:r>
              <w:rPr>
                <w:b w:val="false"/>
                <w:bCs w:val="false"/>
                <w:sz w:val="19"/>
                <w:szCs w:val="19"/>
              </w:rPr>
              <w:t xml:space="preserve">M2 (1 Satz je Paar), Folien 4–6</w:t>
            </w:r>
          </w:p>
        </w:tc>
      </w:tr>
      <w:tr>
        <w:trPr>
          <w:cantSplit/>
        </w:trPr>
        <w:tc>
          <w:tcPr>
            <w:tcW w:type="dxa" w:w="920"/>
            <w:tcBorders>
              <w:top w:val="single" w:color="BFB5A5" w:sz="4"/>
              <w:left w:val="single" w:color="BFB5A5" w:sz="4"/>
              <w:bottom w:val="single" w:color="BFB5A5" w:sz="4"/>
              <w:right w:val="single" w:color="BFB5A5" w:sz="4"/>
            </w:tcBorders>
            <w:shd w:fill="F4ECDE" w:color="auto" w:val="clear"/>
            <w:tcMar>
              <w:top w:type="dxa" w:w="80"/>
              <w:left w:type="dxa" w:w="110"/>
              <w:bottom w:type="dxa" w:w="80"/>
              <w:right w:type="dxa" w:w="110"/>
            </w:tcMar>
          </w:tcPr>
          <w:p>
            <w:pPr>
              <w:spacing w:after="0" w:before="0"/>
            </w:pPr>
            <w:r>
              <w:rPr>
                <w:b w:val="false"/>
                <w:bCs w:val="false"/>
                <w:sz w:val="19"/>
                <w:szCs w:val="19"/>
              </w:rPr>
              <w:t xml:space="preserve">27–40</w:t>
            </w:r>
          </w:p>
        </w:tc>
        <w:tc>
          <w:tcPr>
            <w:tcW w:type="dxa" w:w="1480"/>
            <w:tcBorders>
              <w:top w:val="single" w:color="BFB5A5" w:sz="4"/>
              <w:left w:val="single" w:color="BFB5A5" w:sz="4"/>
              <w:bottom w:val="single" w:color="BFB5A5" w:sz="4"/>
              <w:right w:val="single" w:color="BFB5A5" w:sz="4"/>
            </w:tcBorders>
            <w:tcMar>
              <w:top w:type="dxa" w:w="80"/>
              <w:left w:type="dxa" w:w="110"/>
              <w:bottom w:type="dxa" w:w="80"/>
              <w:right w:type="dxa" w:w="110"/>
            </w:tcMar>
          </w:tcPr>
          <w:p>
            <w:pPr>
              <w:spacing w:after="0" w:before="0"/>
            </w:pPr>
            <w:r>
              <w:rPr>
                <w:b/>
                <w:bCs/>
                <w:sz w:val="19"/>
                <w:szCs w:val="19"/>
              </w:rPr>
              <w:t xml:space="preserve">Anwendung</w:t>
            </w:r>
          </w:p>
        </w:tc>
        <w:tc>
          <w:tcPr>
            <w:tcW w:type="dxa" w:w="4038"/>
            <w:tcBorders>
              <w:top w:val="single" w:color="BFB5A5" w:sz="4"/>
              <w:left w:val="single" w:color="BFB5A5" w:sz="4"/>
              <w:bottom w:val="single" w:color="BFB5A5" w:sz="4"/>
              <w:right w:val="single" w:color="BFB5A5" w:sz="4"/>
            </w:tcBorders>
            <w:tcMar>
              <w:top w:type="dxa" w:w="80"/>
              <w:left w:type="dxa" w:w="110"/>
              <w:bottom w:type="dxa" w:w="80"/>
              <w:right w:type="dxa" w:w="110"/>
            </w:tcMar>
          </w:tcPr>
          <w:p>
            <w:pPr>
              <w:spacing w:after="0" w:before="0"/>
            </w:pPr>
            <w:r>
              <w:rPr>
                <w:b/>
                <w:bCs/>
                <w:sz w:val="19"/>
                <w:szCs w:val="19"/>
              </w:rPr>
              <w:t xml:space="preserve">Selbst urteilen:</w:t>
            </w:r>
            <w:r>
              <w:rPr>
                <w:b w:val="false"/>
                <w:bCs w:val="false"/>
                <w:sz w:val="19"/>
                <w:szCs w:val="19"/>
              </w:rPr>
              <w:t xml:space="preserve"> SuS schreiben ein Sach- und ein Werturteil zur griechischen Kolonisation (M3, ca. 8 Min.). Dann Blatttausch mit dem Nachbarn und Feedback per Checkliste (ca. 5 Min.).</w:t>
            </w:r>
          </w:p>
        </w:tc>
        <w:tc>
          <w:tcPr>
            <w:tcW w:type="dxa" w:w="1500"/>
            <w:tcBorders>
              <w:top w:val="single" w:color="BFB5A5" w:sz="4"/>
              <w:left w:val="single" w:color="BFB5A5" w:sz="4"/>
              <w:bottom w:val="single" w:color="BFB5A5" w:sz="4"/>
              <w:right w:val="single" w:color="BFB5A5" w:sz="4"/>
            </w:tcBorders>
            <w:tcMar>
              <w:top w:type="dxa" w:w="80"/>
              <w:left w:type="dxa" w:w="110"/>
              <w:bottom w:type="dxa" w:w="80"/>
              <w:right w:type="dxa" w:w="110"/>
            </w:tcMar>
          </w:tcPr>
          <w:p>
            <w:pPr>
              <w:spacing w:after="0" w:before="0"/>
            </w:pPr>
            <w:r>
              <w:rPr>
                <w:b w:val="false"/>
                <w:bCs w:val="false"/>
                <w:sz w:val="19"/>
                <w:szCs w:val="19"/>
              </w:rPr>
              <w:t xml:space="preserve">EA → PA</w:t>
            </w:r>
          </w:p>
        </w:tc>
        <w:tc>
          <w:tcPr>
            <w:tcW w:type="dxa" w:w="1700"/>
            <w:tcBorders>
              <w:top w:val="single" w:color="BFB5A5" w:sz="4"/>
              <w:left w:val="single" w:color="BFB5A5" w:sz="4"/>
              <w:bottom w:val="single" w:color="BFB5A5" w:sz="4"/>
              <w:right w:val="single" w:color="BFB5A5" w:sz="4"/>
            </w:tcBorders>
            <w:tcMar>
              <w:top w:type="dxa" w:w="80"/>
              <w:left w:type="dxa" w:w="110"/>
              <w:bottom w:type="dxa" w:w="80"/>
              <w:right w:type="dxa" w:w="110"/>
            </w:tcMar>
          </w:tcPr>
          <w:p>
            <w:pPr>
              <w:spacing w:after="0" w:before="0"/>
            </w:pPr>
            <w:r>
              <w:rPr>
                <w:b w:val="false"/>
                <w:bCs w:val="false"/>
                <w:sz w:val="19"/>
                <w:szCs w:val="19"/>
              </w:rPr>
              <w:t xml:space="preserve">M3, Folie 7</w:t>
            </w:r>
          </w:p>
        </w:tc>
      </w:tr>
      <w:tr>
        <w:trPr>
          <w:cantSplit/>
        </w:trPr>
        <w:tc>
          <w:tcPr>
            <w:tcW w:type="dxa" w:w="920"/>
            <w:tcBorders>
              <w:top w:val="single" w:color="BFB5A5" w:sz="4"/>
              <w:left w:val="single" w:color="BFB5A5" w:sz="4"/>
              <w:bottom w:val="single" w:color="BFB5A5" w:sz="4"/>
              <w:right w:val="single" w:color="BFB5A5" w:sz="4"/>
            </w:tcBorders>
            <w:shd w:fill="F4ECDE" w:color="auto" w:val="clear"/>
            <w:tcMar>
              <w:top w:type="dxa" w:w="80"/>
              <w:left w:type="dxa" w:w="110"/>
              <w:bottom w:type="dxa" w:w="80"/>
              <w:right w:type="dxa" w:w="110"/>
            </w:tcMar>
          </w:tcPr>
          <w:p>
            <w:pPr>
              <w:spacing w:after="0" w:before="0"/>
            </w:pPr>
            <w:r>
              <w:rPr>
                <w:b w:val="false"/>
                <w:bCs w:val="false"/>
                <w:sz w:val="19"/>
                <w:szCs w:val="19"/>
              </w:rPr>
              <w:t xml:space="preserve">40–45</w:t>
            </w:r>
          </w:p>
        </w:tc>
        <w:tc>
          <w:tcPr>
            <w:tcW w:type="dxa" w:w="1480"/>
            <w:tcBorders>
              <w:top w:val="single" w:color="BFB5A5" w:sz="4"/>
              <w:left w:val="single" w:color="BFB5A5" w:sz="4"/>
              <w:bottom w:val="single" w:color="BFB5A5" w:sz="4"/>
              <w:right w:val="single" w:color="BFB5A5" w:sz="4"/>
            </w:tcBorders>
            <w:tcMar>
              <w:top w:type="dxa" w:w="80"/>
              <w:left w:type="dxa" w:w="110"/>
              <w:bottom w:type="dxa" w:w="80"/>
              <w:right w:type="dxa" w:w="110"/>
            </w:tcMar>
          </w:tcPr>
          <w:p>
            <w:pPr>
              <w:spacing w:after="0" w:before="0"/>
            </w:pPr>
            <w:r>
              <w:rPr>
                <w:b/>
                <w:bCs/>
                <w:sz w:val="19"/>
                <w:szCs w:val="19"/>
              </w:rPr>
              <w:t xml:space="preserve">Sicherung</w:t>
            </w:r>
          </w:p>
        </w:tc>
        <w:tc>
          <w:tcPr>
            <w:tcW w:type="dxa" w:w="4038"/>
            <w:tcBorders>
              <w:top w:val="single" w:color="BFB5A5" w:sz="4"/>
              <w:left w:val="single" w:color="BFB5A5" w:sz="4"/>
              <w:bottom w:val="single" w:color="BFB5A5" w:sz="4"/>
              <w:right w:val="single" w:color="BFB5A5" w:sz="4"/>
            </w:tcBorders>
            <w:tcMar>
              <w:top w:type="dxa" w:w="80"/>
              <w:left w:type="dxa" w:w="110"/>
              <w:bottom w:type="dxa" w:w="80"/>
              <w:right w:type="dxa" w:w="110"/>
            </w:tcMar>
          </w:tcPr>
          <w:p>
            <w:pPr>
              <w:spacing w:after="0" w:before="0"/>
            </w:pPr>
            <w:r>
              <w:rPr>
                <w:b/>
                <w:bCs/>
                <w:sz w:val="19"/>
                <w:szCs w:val="19"/>
              </w:rPr>
              <w:t xml:space="preserve">Exit-Ticket</w:t>
            </w:r>
            <w:r>
              <w:rPr>
                <w:b w:val="false"/>
                <w:bCs w:val="false"/>
                <w:sz w:val="19"/>
                <w:szCs w:val="19"/>
              </w:rPr>
              <w:t xml:space="preserve"> M4: den Unterschied in eigenen Worten formulieren. Einsammeln. Ausblick auf die Doppelstunde (Solon).</w:t>
            </w:r>
          </w:p>
        </w:tc>
        <w:tc>
          <w:tcPr>
            <w:tcW w:type="dxa" w:w="1500"/>
            <w:tcBorders>
              <w:top w:val="single" w:color="BFB5A5" w:sz="4"/>
              <w:left w:val="single" w:color="BFB5A5" w:sz="4"/>
              <w:bottom w:val="single" w:color="BFB5A5" w:sz="4"/>
              <w:right w:val="single" w:color="BFB5A5" w:sz="4"/>
            </w:tcBorders>
            <w:tcMar>
              <w:top w:type="dxa" w:w="80"/>
              <w:left w:type="dxa" w:w="110"/>
              <w:bottom w:type="dxa" w:w="80"/>
              <w:right w:type="dxa" w:w="110"/>
            </w:tcMar>
          </w:tcPr>
          <w:p>
            <w:pPr>
              <w:spacing w:after="0" w:before="0"/>
            </w:pPr>
            <w:r>
              <w:rPr>
                <w:b w:val="false"/>
                <w:bCs w:val="false"/>
                <w:sz w:val="19"/>
                <w:szCs w:val="19"/>
              </w:rPr>
              <w:t xml:space="preserve">EA</w:t>
            </w:r>
          </w:p>
        </w:tc>
        <w:tc>
          <w:tcPr>
            <w:tcW w:type="dxa" w:w="1700"/>
            <w:tcBorders>
              <w:top w:val="single" w:color="BFB5A5" w:sz="4"/>
              <w:left w:val="single" w:color="BFB5A5" w:sz="4"/>
              <w:bottom w:val="single" w:color="BFB5A5" w:sz="4"/>
              <w:right w:val="single" w:color="BFB5A5" w:sz="4"/>
            </w:tcBorders>
            <w:tcMar>
              <w:top w:type="dxa" w:w="80"/>
              <w:left w:type="dxa" w:w="110"/>
              <w:bottom w:type="dxa" w:w="80"/>
              <w:right w:type="dxa" w:w="110"/>
            </w:tcMar>
          </w:tcPr>
          <w:p>
            <w:pPr>
              <w:spacing w:after="0" w:before="0"/>
            </w:pPr>
            <w:r>
              <w:rPr>
                <w:b w:val="false"/>
                <w:bCs w:val="false"/>
                <w:sz w:val="19"/>
                <w:szCs w:val="19"/>
              </w:rPr>
              <w:t xml:space="preserve">M4, Folie 8</w:t>
            </w:r>
          </w:p>
        </w:tc>
      </w:tr>
    </w:tbl>
    <w:p>
      <w:pPr>
        <w:keepNext/>
        <w:spacing w:after="100" w:before="200"/>
      </w:pPr>
      <w:r>
        <w:rPr>
          <w:rFonts w:ascii="Cambria" w:cs="Cambria" w:eastAsia="Cambria" w:hAnsi="Cambria"/>
          <w:b/>
          <w:bCs/>
          <w:color w:val="AD4426"/>
          <w:sz w:val="24"/>
          <w:szCs w:val="24"/>
        </w:rPr>
        <w:t xml:space="preserve">Vorbereitung</w:t>
      </w:r>
    </w:p>
    <w:p>
      <w:pPr>
        <w:spacing w:after="40" w:before="0"/>
      </w:pPr>
      <w:r>
        <w:rPr>
          <w:sz w:val="19"/>
          <w:szCs w:val="19"/>
        </w:rPr>
        <w:t xml:space="preserve">–  M1 und M3 je Schüler kopieren; M4 (4 Tickets pro Seite) entsprechend der Klassengröße.</w:t>
      </w:r>
    </w:p>
    <w:p>
      <w:pPr>
        <w:spacing w:after="40" w:before="0"/>
      </w:pPr>
      <w:r>
        <w:rPr>
          <w:sz w:val="19"/>
          <w:szCs w:val="19"/>
        </w:rPr>
        <w:t xml:space="preserve">–  M2 je Paar kopieren und vorab zerschneiden, am besten in Umschlägen. Alternativ schneiden die SuS selbst (etwa 2 Min. zusätzlich).</w:t>
      </w:r>
    </w:p>
    <w:p>
      <w:pPr>
        <w:spacing w:after="40" w:before="0"/>
      </w:pPr>
      <w:r>
        <w:rPr>
          <w:sz w:val="19"/>
          <w:szCs w:val="19"/>
        </w:rPr>
        <w:t xml:space="preserve">–  Folien bereithalten. Timer sichtbar machen, damit die Zeitansagen nicht mündlich erfolgen müssen.</w:t>
      </w:r>
    </w:p>
    <w:p>
      <w:pPr>
        <w:keepNext/>
        <w:spacing w:after="100" w:before="200"/>
      </w:pPr>
      <w:r>
        <w:rPr>
          <w:rFonts w:ascii="Cambria" w:cs="Cambria" w:eastAsia="Cambria" w:hAnsi="Cambria"/>
          <w:b/>
          <w:bCs/>
          <w:color w:val="AD4426"/>
          <w:sz w:val="24"/>
          <w:szCs w:val="24"/>
        </w:rPr>
        <w:t xml:space="preserve">Hinweise zur Durchführung</w:t>
      </w:r>
    </w:p>
    <w:p>
      <w:pPr>
        <w:spacing w:after="40" w:before="0"/>
      </w:pPr>
      <w:r>
        <w:rPr>
          <w:sz w:val="19"/>
          <w:szCs w:val="19"/>
        </w:rPr>
        <w:t xml:space="preserve">–  </w:t>
      </w:r>
      <w:r>
        <w:rPr>
          <w:b/>
          <w:bCs/>
          <w:sz w:val="19"/>
          <w:szCs w:val="19"/>
        </w:rPr>
        <w:t xml:space="preserve">Redeanteil der Lehrkraft:</w:t>
      </w:r>
      <w:r>
        <w:rPr>
          <w:sz w:val="19"/>
          <w:szCs w:val="19"/>
        </w:rPr>
        <w:t xml:space="preserve"> nur an den Phasenübergängen und bei den strittigen Karten. Die Arbeitsaufträge stehen auf den Folien.</w:t>
      </w:r>
    </w:p>
    <w:p>
      <w:pPr>
        <w:spacing w:after="40" w:before="0"/>
      </w:pPr>
      <w:r>
        <w:rPr>
          <w:sz w:val="19"/>
          <w:szCs w:val="19"/>
        </w:rPr>
        <w:t xml:space="preserve">–  </w:t>
      </w:r>
      <w:r>
        <w:rPr>
          <w:b/>
          <w:bCs/>
          <w:sz w:val="19"/>
          <w:szCs w:val="19"/>
        </w:rPr>
        <w:t xml:space="preserve">Induktiv vorgehen:</w:t>
      </w:r>
      <w:r>
        <w:rPr>
          <w:sz w:val="19"/>
          <w:szCs w:val="19"/>
        </w:rPr>
        <w:t xml:space="preserve"> M1 erst austeilen, wenn die Paare eigene Namen gefunden haben. So entdecken sie die Unterscheidung selbst.</w:t>
      </w:r>
    </w:p>
    <w:p>
      <w:pPr>
        <w:spacing w:after="40" w:before="0"/>
      </w:pPr>
      <w:r>
        <w:rPr>
          <w:sz w:val="19"/>
          <w:szCs w:val="19"/>
        </w:rPr>
        <w:t xml:space="preserve">–  </w:t>
      </w:r>
      <w:r>
        <w:rPr>
          <w:b/>
          <w:bCs/>
          <w:sz w:val="19"/>
          <w:szCs w:val="19"/>
        </w:rPr>
        <w:t xml:space="preserve">Häufigste Verwechslung:</w:t>
      </w:r>
      <w:r>
        <w:rPr>
          <w:sz w:val="19"/>
          <w:szCs w:val="19"/>
        </w:rPr>
        <w:t xml:space="preserve"> Viele SuS halten das Sachurteil für eine Beschreibung. Daran erinnern, dass ein Sachurteil bereits wertet, nur mit den Maßstäben der damaligen Zeit.</w:t>
      </w:r>
    </w:p>
    <w:p>
      <w:pPr>
        <w:spacing w:after="40" w:before="0"/>
      </w:pPr>
      <w:r>
        <w:rPr>
          <w:sz w:val="19"/>
          <w:szCs w:val="19"/>
        </w:rPr>
        <w:t xml:space="preserve">–  </w:t>
      </w:r>
      <w:r>
        <w:rPr>
          <w:b/>
          <w:bCs/>
          <w:sz w:val="19"/>
          <w:szCs w:val="19"/>
        </w:rPr>
        <w:t xml:space="preserve">Zeit wird knapp?</w:t>
      </w:r>
      <w:r>
        <w:rPr>
          <w:sz w:val="19"/>
          <w:szCs w:val="19"/>
        </w:rPr>
        <w:t xml:space="preserve"> Die Feedback-Phase kürzen oder Aufgabe 2 von M3 als Hausaufgabe geben. Die Sortierübung nicht kürzen.</w:t>
      </w:r>
    </w:p>
    <w:p>
      <w:pPr>
        <w:spacing w:after="40" w:before="0"/>
      </w:pPr>
      <w:r>
        <w:rPr>
          <w:sz w:val="19"/>
          <w:szCs w:val="19"/>
        </w:rPr>
        <w:t xml:space="preserve">–  </w:t>
      </w:r>
      <w:r>
        <w:rPr>
          <w:b/>
          <w:bCs/>
          <w:sz w:val="19"/>
          <w:szCs w:val="19"/>
        </w:rPr>
        <w:t xml:space="preserve">Exit-Tickets</w:t>
      </w:r>
      <w:r>
        <w:rPr>
          <w:sz w:val="19"/>
          <w:szCs w:val="19"/>
        </w:rPr>
        <w:t xml:space="preserve"> eignen sich als Einstieg in die Doppelstunde: zwei treffende und eine unklare Formulierung vorlesen und kurz vergleichen lassen.</w:t>
      </w:r>
    </w:p>
    <w:p>
      <w:pPr>
        <w:keepNext/>
        <w:spacing w:after="100" w:before="200"/>
      </w:pPr>
      <w:r>
        <w:rPr>
          <w:rFonts w:ascii="Cambria" w:cs="Cambria" w:eastAsia="Cambria" w:hAnsi="Cambria"/>
          <w:b/>
          <w:bCs/>
          <w:color w:val="AD4426"/>
          <w:sz w:val="24"/>
          <w:szCs w:val="24"/>
        </w:rPr>
        <w:t xml:space="preserve">Literatur</w:t>
      </w:r>
    </w:p>
    <w:p>
      <w:pPr>
        <w:spacing w:after="40" w:before="0"/>
      </w:pPr>
      <w:r>
        <w:rPr>
          <w:color w:val="5A5044"/>
          <w:sz w:val="17"/>
          <w:szCs w:val="17"/>
        </w:rPr>
        <w:t xml:space="preserve">Jeismann, Karl-Ernst: Geschichtsbewusstsein. In: Bergmann, Klaus u. a. (Hg.): Handbuch der Geschichtsdidaktik. Seelze, 5. Aufl. 1997 (Dreischritt Sachanalyse – Sachurteil – Werturteil).</w:t>
      </w:r>
    </w:p>
    <w:p>
      <w:pPr>
        <w:spacing w:after="40" w:before="0"/>
      </w:pPr>
      <w:r>
        <w:rPr>
          <w:color w:val="5A5044"/>
          <w:sz w:val="17"/>
          <w:szCs w:val="17"/>
        </w:rPr>
        <w:t xml:space="preserve">Sauer, Michael: Geschichte unterrichten. Eine Einführung in die Didaktik und Methodik. Seelze (Kallmeyer), versch. Aufl.</w:t>
      </w:r>
    </w:p>
    <w:p>
      <w:pPr>
        <w:spacing w:after="40" w:before="0"/>
      </w:pPr>
      <w:r>
        <w:rPr>
          <w:color w:val="5A5044"/>
          <w:sz w:val="17"/>
          <w:szCs w:val="17"/>
        </w:rPr>
        <w:t xml:space="preserve">Kayser, Jochen / Hagemann, Hans-Jürgen: Urteilsbildung im Geschichts- und Politikunterricht. Bonn (bpb) 2005.</w:t>
      </w:r>
    </w:p>
    <w:p>
      <w:pPr>
        <w:spacing w:after="40" w:before="0"/>
      </w:pPr>
      <w:r>
        <w:rPr>
          <w:color w:val="5A5044"/>
          <w:sz w:val="17"/>
          <w:szCs w:val="17"/>
        </w:rPr>
        <w:t xml:space="preserve">Brüning, Ludger / Saum, Tobias: Erfolgreich unterrichten durch Kooperatives Lernen. Essen 2006 (Denken – Austauschen – Vorstellen).</w:t>
      </w:r>
    </w:p>
    <w:p>
      <w:pPr>
        <w:spacing w:after="40" w:before="0"/>
      </w:pPr>
      <w:r>
        <w:rPr>
          <w:color w:val="5A5044"/>
          <w:sz w:val="17"/>
          <w:szCs w:val="17"/>
        </w:rPr>
        <w:t xml:space="preserve">Memminger, Josef: Schüler schreiben Geschichte. Schwalbach/Ts. 2007.</w:t>
      </w:r>
    </w:p>
    <w:p>
      <w:pPr>
        <w:sectPr>
          <w:headerReference w:type="default" r:id="rId7"/>
          <w:pgSz w:w="11906" w:h="16838" w:orient="portrait"/>
          <w:pgMar w:top="1000" w:right="1134" w:bottom="1000" w:left="1134" w:header="708" w:footer="708" w:gutter="0"/>
          <w:pgNumType/>
          <w:docGrid w:linePitch="360"/>
        </w:sectPr>
      </w:pPr>
    </w:p>
    <w:p>
      <w:pPr>
        <w:spacing w:after="40" w:before="0"/>
      </w:pPr>
      <w:r>
        <w:rPr>
          <w:b/>
          <w:bCs/>
          <w:color w:val="AD4426"/>
          <w:sz w:val="16"/>
          <w:szCs w:val="16"/>
        </w:rPr>
        <w:t xml:space="preserve">LEHRKRAFT · LÖSUNG</w:t>
      </w:r>
    </w:p>
    <w:p>
      <w:pPr>
        <w:spacing w:after="160"/>
      </w:pPr>
      <w:r>
        <w:rPr>
          <w:rFonts w:ascii="Cambria" w:cs="Cambria" w:eastAsia="Cambria" w:hAnsi="Cambria"/>
          <w:b/>
          <w:bCs/>
          <w:color w:val="2B2318"/>
          <w:sz w:val="32"/>
          <w:szCs w:val="32"/>
        </w:rPr>
        <w:t xml:space="preserve">Lösung zu M2 und Erwartungshorizont zu M3</w:t>
      </w:r>
    </w:p>
    <w:p>
      <w:pPr>
        <w:spacing w:after="140" w:before="0"/>
      </w:pPr>
      <w:r>
        <w:rPr>
          <w:b/>
          <w:bCs/>
          <w:sz w:val="20"/>
          <w:szCs w:val="20"/>
        </w:rPr>
        <w:t xml:space="preserve">Je 4 Karten pro Kategorie. Beschreibung: B, E, I, L · Sachurteil: C, F, H, J · Werturteil: A, D, G, 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
        <w:gridCol w:w="3740"/>
        <w:gridCol w:w="1650"/>
        <w:gridCol w:w="3688"/>
      </w:tblGrid>
      <w:tr>
        <w:trPr>
          <w:tblHeader/>
        </w:trPr>
        <w:tc>
          <w:tcPr>
            <w:tcW w:type="dxa" w:w="560"/>
            <w:tcBorders>
              <w:top w:val="single" w:color="BFB5A5" w:sz="4"/>
              <w:left w:val="single" w:color="BFB5A5" w:sz="4"/>
              <w:bottom w:val="single" w:color="BFB5A5" w:sz="4"/>
              <w:right w:val="single" w:color="BFB5A5" w:sz="4"/>
            </w:tcBorders>
            <w:shd w:fill="2B2318" w:color="auto" w:val="clear"/>
            <w:tcMar>
              <w:top w:type="dxa" w:w="80"/>
              <w:left w:type="dxa" w:w="110"/>
              <w:bottom w:type="dxa" w:w="80"/>
              <w:right w:type="dxa" w:w="110"/>
            </w:tcMar>
          </w:tcPr>
          <w:p>
            <w:pPr>
              <w:spacing w:after="0" w:before="0"/>
            </w:pPr>
          </w:p>
        </w:tc>
        <w:tc>
          <w:tcPr>
            <w:tcW w:type="dxa" w:w="3740"/>
            <w:tcBorders>
              <w:top w:val="single" w:color="BFB5A5" w:sz="4"/>
              <w:left w:val="single" w:color="BFB5A5" w:sz="4"/>
              <w:bottom w:val="single" w:color="BFB5A5" w:sz="4"/>
              <w:right w:val="single" w:color="BFB5A5" w:sz="4"/>
            </w:tcBorders>
            <w:shd w:fill="2B2318" w:color="auto" w:val="clear"/>
            <w:tcMar>
              <w:top w:type="dxa" w:w="80"/>
              <w:left w:type="dxa" w:w="110"/>
              <w:bottom w:type="dxa" w:w="80"/>
              <w:right w:type="dxa" w:w="110"/>
            </w:tcMar>
          </w:tcPr>
          <w:p>
            <w:pPr>
              <w:spacing w:after="0" w:before="0"/>
            </w:pPr>
            <w:r>
              <w:rPr>
                <w:b/>
                <w:bCs/>
                <w:color w:val="FFFFFF"/>
                <w:sz w:val="19"/>
                <w:szCs w:val="19"/>
              </w:rPr>
              <w:t xml:space="preserve">Aussage</w:t>
            </w:r>
          </w:p>
        </w:tc>
        <w:tc>
          <w:tcPr>
            <w:tcW w:type="dxa" w:w="1650"/>
            <w:tcBorders>
              <w:top w:val="single" w:color="BFB5A5" w:sz="4"/>
              <w:left w:val="single" w:color="BFB5A5" w:sz="4"/>
              <w:bottom w:val="single" w:color="BFB5A5" w:sz="4"/>
              <w:right w:val="single" w:color="BFB5A5" w:sz="4"/>
            </w:tcBorders>
            <w:shd w:fill="2B2318" w:color="auto" w:val="clear"/>
            <w:tcMar>
              <w:top w:type="dxa" w:w="80"/>
              <w:left w:type="dxa" w:w="110"/>
              <w:bottom w:type="dxa" w:w="80"/>
              <w:right w:type="dxa" w:w="110"/>
            </w:tcMar>
          </w:tcPr>
          <w:p>
            <w:pPr>
              <w:spacing w:after="0" w:before="0"/>
            </w:pPr>
            <w:r>
              <w:rPr>
                <w:b/>
                <w:bCs/>
                <w:color w:val="FFFFFF"/>
                <w:sz w:val="19"/>
                <w:szCs w:val="19"/>
              </w:rPr>
              <w:t xml:space="preserve">Kategorie</w:t>
            </w:r>
          </w:p>
        </w:tc>
        <w:tc>
          <w:tcPr>
            <w:tcW w:type="dxa" w:w="3688"/>
            <w:tcBorders>
              <w:top w:val="single" w:color="BFB5A5" w:sz="4"/>
              <w:left w:val="single" w:color="BFB5A5" w:sz="4"/>
              <w:bottom w:val="single" w:color="BFB5A5" w:sz="4"/>
              <w:right w:val="single" w:color="BFB5A5" w:sz="4"/>
            </w:tcBorders>
            <w:shd w:fill="2B2318" w:color="auto" w:val="clear"/>
            <w:tcMar>
              <w:top w:type="dxa" w:w="80"/>
              <w:left w:type="dxa" w:w="110"/>
              <w:bottom w:type="dxa" w:w="80"/>
              <w:right w:type="dxa" w:w="110"/>
            </w:tcMar>
          </w:tcPr>
          <w:p>
            <w:pPr>
              <w:spacing w:after="0" w:before="0"/>
            </w:pPr>
            <w:r>
              <w:rPr>
                <w:b/>
                <w:bCs/>
                <w:color w:val="FFFFFF"/>
                <w:sz w:val="19"/>
                <w:szCs w:val="19"/>
              </w:rPr>
              <w:t xml:space="preserve">Hinweis</w:t>
            </w:r>
          </w:p>
        </w:tc>
      </w:tr>
      <w:tr>
        <w:trPr>
          <w:cantSplit/>
        </w:trPr>
        <w:tc>
          <w:tcPr>
            <w:tcW w:type="dxa" w:w="560"/>
            <w:tcBorders>
              <w:top w:val="single" w:color="BFB5A5" w:sz="4"/>
              <w:left w:val="single" w:color="BFB5A5" w:sz="4"/>
              <w:bottom w:val="single" w:color="BFB5A5" w:sz="4"/>
              <w:right w:val="single" w:color="BFB5A5" w:sz="4"/>
            </w:tcBorders>
            <w:tcMar>
              <w:top w:type="dxa" w:w="80"/>
              <w:left w:type="dxa" w:w="110"/>
              <w:bottom w:type="dxa" w:w="80"/>
              <w:right w:type="dxa" w:w="110"/>
            </w:tcMar>
          </w:tcPr>
          <w:p>
            <w:pPr>
              <w:spacing w:after="0" w:before="0"/>
            </w:pPr>
            <w:r>
              <w:rPr>
                <w:rFonts w:ascii="Cambria" w:cs="Cambria" w:eastAsia="Cambria" w:hAnsi="Cambria"/>
                <w:b/>
                <w:bCs/>
                <w:color w:val="AD4426"/>
                <w:sz w:val="22"/>
                <w:szCs w:val="22"/>
              </w:rPr>
              <w:t xml:space="preserve">A</w:t>
            </w:r>
          </w:p>
        </w:tc>
        <w:tc>
          <w:tcPr>
            <w:tcW w:type="dxa" w:w="3740"/>
            <w:tcBorders>
              <w:top w:val="single" w:color="BFB5A5" w:sz="4"/>
              <w:left w:val="single" w:color="BFB5A5" w:sz="4"/>
              <w:bottom w:val="single" w:color="BFB5A5" w:sz="4"/>
              <w:right w:val="single" w:color="BFB5A5" w:sz="4"/>
            </w:tcBorders>
            <w:tcMar>
              <w:top w:type="dxa" w:w="80"/>
              <w:left w:type="dxa" w:w="110"/>
              <w:bottom w:type="dxa" w:w="80"/>
              <w:right w:type="dxa" w:w="110"/>
            </w:tcMar>
          </w:tcPr>
          <w:p>
            <w:pPr>
              <w:spacing w:after="0" w:before="0"/>
            </w:pPr>
            <w:r>
              <w:rPr>
                <w:sz w:val="18"/>
                <w:szCs w:val="18"/>
              </w:rPr>
              <w:t xml:space="preserve">Die Adligen in Athen waren einfach egoistisch und gierig.</w:t>
            </w:r>
          </w:p>
        </w:tc>
        <w:tc>
          <w:tcPr>
            <w:tcW w:type="dxa" w:w="1650"/>
            <w:tcBorders>
              <w:top w:val="single" w:color="BFB5A5" w:sz="4"/>
              <w:left w:val="single" w:color="BFB5A5" w:sz="4"/>
              <w:bottom w:val="single" w:color="BFB5A5" w:sz="4"/>
              <w:right w:val="single" w:color="BFB5A5" w:sz="4"/>
            </w:tcBorders>
            <w:shd w:fill="AD4426" w:color="auto" w:val="clear"/>
            <w:tcMar>
              <w:top w:type="dxa" w:w="80"/>
              <w:left w:type="dxa" w:w="110"/>
              <w:bottom w:type="dxa" w:w="80"/>
              <w:right w:type="dxa" w:w="110"/>
            </w:tcMar>
          </w:tcPr>
          <w:p>
            <w:pPr>
              <w:spacing w:after="0" w:before="0"/>
            </w:pPr>
            <w:r>
              <w:rPr>
                <w:b/>
                <w:bCs/>
                <w:color w:val="FFFFFF"/>
                <w:sz w:val="18"/>
                <w:szCs w:val="18"/>
              </w:rPr>
              <w:t xml:space="preserve">Werturteil</w:t>
            </w:r>
          </w:p>
        </w:tc>
        <w:tc>
          <w:tcPr>
            <w:tcW w:type="dxa" w:w="3688"/>
            <w:tcBorders>
              <w:top w:val="single" w:color="BFB5A5" w:sz="4"/>
              <w:left w:val="single" w:color="BFB5A5" w:sz="4"/>
              <w:bottom w:val="single" w:color="BFB5A5" w:sz="4"/>
              <w:right w:val="single" w:color="BFB5A5" w:sz="4"/>
            </w:tcBorders>
            <w:tcMar>
              <w:top w:type="dxa" w:w="80"/>
              <w:left w:type="dxa" w:w="110"/>
              <w:bottom w:type="dxa" w:w="80"/>
              <w:right w:type="dxa" w:w="110"/>
            </w:tcMar>
          </w:tcPr>
          <w:p>
            <w:pPr>
              <w:spacing w:after="0" w:before="0"/>
            </w:pPr>
            <w:r>
              <w:rPr>
                <w:sz w:val="18"/>
                <w:szCs w:val="18"/>
              </w:rPr>
              <w:t xml:space="preserve">Schwaches Werturteil: pauschal, ohne Maßstab und ohne Begründung. Mit G vergleichen lassen.</w:t>
            </w:r>
          </w:p>
        </w:tc>
      </w:tr>
      <w:tr>
        <w:trPr>
          <w:cantSplit/>
        </w:trPr>
        <w:tc>
          <w:tcPr>
            <w:tcW w:type="dxa" w:w="560"/>
            <w:tcBorders>
              <w:top w:val="single" w:color="BFB5A5" w:sz="4"/>
              <w:left w:val="single" w:color="BFB5A5" w:sz="4"/>
              <w:bottom w:val="single" w:color="BFB5A5" w:sz="4"/>
              <w:right w:val="single" w:color="BFB5A5" w:sz="4"/>
            </w:tcBorders>
            <w:tcMar>
              <w:top w:type="dxa" w:w="80"/>
              <w:left w:type="dxa" w:w="110"/>
              <w:bottom w:type="dxa" w:w="80"/>
              <w:right w:type="dxa" w:w="110"/>
            </w:tcMar>
          </w:tcPr>
          <w:p>
            <w:pPr>
              <w:spacing w:after="0" w:before="0"/>
            </w:pPr>
            <w:r>
              <w:rPr>
                <w:rFonts w:ascii="Cambria" w:cs="Cambria" w:eastAsia="Cambria" w:hAnsi="Cambria"/>
                <w:b/>
                <w:bCs/>
                <w:color w:val="AD4426"/>
                <w:sz w:val="22"/>
                <w:szCs w:val="22"/>
              </w:rPr>
              <w:t xml:space="preserve">B</w:t>
            </w:r>
          </w:p>
        </w:tc>
        <w:tc>
          <w:tcPr>
            <w:tcW w:type="dxa" w:w="3740"/>
            <w:tcBorders>
              <w:top w:val="single" w:color="BFB5A5" w:sz="4"/>
              <w:left w:val="single" w:color="BFB5A5" w:sz="4"/>
              <w:bottom w:val="single" w:color="BFB5A5" w:sz="4"/>
              <w:right w:val="single" w:color="BFB5A5" w:sz="4"/>
            </w:tcBorders>
            <w:tcMar>
              <w:top w:type="dxa" w:w="80"/>
              <w:left w:type="dxa" w:w="110"/>
              <w:bottom w:type="dxa" w:w="80"/>
              <w:right w:type="dxa" w:w="110"/>
            </w:tcMar>
          </w:tcPr>
          <w:p>
            <w:pPr>
              <w:spacing w:after="0" w:before="0"/>
            </w:pPr>
            <w:r>
              <w:rPr>
                <w:sz w:val="18"/>
                <w:szCs w:val="18"/>
              </w:rPr>
              <w:t xml:space="preserve">Ab dem 8. Jahrhundert v. Chr. gründeten griechische Poleis Kolonien an den Küsten des Mittelmeers und des Schwarzen Meeres.</w:t>
            </w:r>
          </w:p>
        </w:tc>
        <w:tc>
          <w:tcPr>
            <w:tcW w:type="dxa" w:w="1650"/>
            <w:tcBorders>
              <w:top w:val="single" w:color="BFB5A5" w:sz="4"/>
              <w:left w:val="single" w:color="BFB5A5" w:sz="4"/>
              <w:bottom w:val="single" w:color="BFB5A5" w:sz="4"/>
              <w:right w:val="single" w:color="BFB5A5" w:sz="4"/>
            </w:tcBorders>
            <w:shd w:fill="5A5044" w:color="auto" w:val="clear"/>
            <w:tcMar>
              <w:top w:type="dxa" w:w="80"/>
              <w:left w:type="dxa" w:w="110"/>
              <w:bottom w:type="dxa" w:w="80"/>
              <w:right w:type="dxa" w:w="110"/>
            </w:tcMar>
          </w:tcPr>
          <w:p>
            <w:pPr>
              <w:spacing w:after="0" w:before="0"/>
            </w:pPr>
            <w:r>
              <w:rPr>
                <w:b/>
                <w:bCs/>
                <w:color w:val="FFFFFF"/>
                <w:sz w:val="18"/>
                <w:szCs w:val="18"/>
              </w:rPr>
              <w:t xml:space="preserve">Beschreibung</w:t>
            </w:r>
          </w:p>
        </w:tc>
        <w:tc>
          <w:tcPr>
            <w:tcW w:type="dxa" w:w="3688"/>
            <w:tcBorders>
              <w:top w:val="single" w:color="BFB5A5" w:sz="4"/>
              <w:left w:val="single" w:color="BFB5A5" w:sz="4"/>
              <w:bottom w:val="single" w:color="BFB5A5" w:sz="4"/>
              <w:right w:val="single" w:color="BFB5A5" w:sz="4"/>
            </w:tcBorders>
            <w:tcMar>
              <w:top w:type="dxa" w:w="80"/>
              <w:left w:type="dxa" w:w="110"/>
              <w:bottom w:type="dxa" w:w="80"/>
              <w:right w:type="dxa" w:w="110"/>
            </w:tcMar>
          </w:tcPr>
          <w:p>
            <w:pPr>
              <w:spacing w:after="0" w:before="0"/>
            </w:pPr>
            <w:r>
              <w:rPr>
                <w:sz w:val="18"/>
                <w:szCs w:val="18"/>
              </w:rPr>
              <w:t xml:space="preserve">Überprüfbare Tatsache, keine Wertung.</w:t>
            </w:r>
          </w:p>
        </w:tc>
      </w:tr>
      <w:tr>
        <w:trPr>
          <w:cantSplit/>
        </w:trPr>
        <w:tc>
          <w:tcPr>
            <w:tcW w:type="dxa" w:w="560"/>
            <w:tcBorders>
              <w:top w:val="single" w:color="BFB5A5" w:sz="4"/>
              <w:left w:val="single" w:color="BFB5A5" w:sz="4"/>
              <w:bottom w:val="single" w:color="BFB5A5" w:sz="4"/>
              <w:right w:val="single" w:color="BFB5A5" w:sz="4"/>
            </w:tcBorders>
            <w:tcMar>
              <w:top w:type="dxa" w:w="80"/>
              <w:left w:type="dxa" w:w="110"/>
              <w:bottom w:type="dxa" w:w="80"/>
              <w:right w:type="dxa" w:w="110"/>
            </w:tcMar>
          </w:tcPr>
          <w:p>
            <w:pPr>
              <w:spacing w:after="0" w:before="0"/>
            </w:pPr>
            <w:r>
              <w:rPr>
                <w:rFonts w:ascii="Cambria" w:cs="Cambria" w:eastAsia="Cambria" w:hAnsi="Cambria"/>
                <w:b/>
                <w:bCs/>
                <w:color w:val="AD4426"/>
                <w:sz w:val="22"/>
                <w:szCs w:val="22"/>
              </w:rPr>
              <w:t xml:space="preserve">C</w:t>
            </w:r>
          </w:p>
        </w:tc>
        <w:tc>
          <w:tcPr>
            <w:tcW w:type="dxa" w:w="3740"/>
            <w:tcBorders>
              <w:top w:val="single" w:color="BFB5A5" w:sz="4"/>
              <w:left w:val="single" w:color="BFB5A5" w:sz="4"/>
              <w:bottom w:val="single" w:color="BFB5A5" w:sz="4"/>
              <w:right w:val="single" w:color="BFB5A5" w:sz="4"/>
            </w:tcBorders>
            <w:tcMar>
              <w:top w:type="dxa" w:w="80"/>
              <w:left w:type="dxa" w:w="110"/>
              <w:bottom w:type="dxa" w:w="80"/>
              <w:right w:type="dxa" w:w="110"/>
            </w:tcMar>
          </w:tcPr>
          <w:p>
            <w:pPr>
              <w:spacing w:after="0" w:before="0"/>
            </w:pPr>
            <w:r>
              <w:rPr>
                <w:sz w:val="18"/>
                <w:szCs w:val="18"/>
              </w:rPr>
              <w:t xml:space="preserve">Die Polis bot ihren Bürgern Schutz und Zusammenhalt, weil Mauer, Akropolis und Agora Verteidigung, Religion und Politik an einem Ort bündelten.</w:t>
            </w:r>
          </w:p>
        </w:tc>
        <w:tc>
          <w:tcPr>
            <w:tcW w:type="dxa" w:w="1650"/>
            <w:tcBorders>
              <w:top w:val="single" w:color="BFB5A5" w:sz="4"/>
              <w:left w:val="single" w:color="BFB5A5" w:sz="4"/>
              <w:bottom w:val="single" w:color="BFB5A5" w:sz="4"/>
              <w:right w:val="single" w:color="BFB5A5" w:sz="4"/>
            </w:tcBorders>
            <w:shd w:fill="D9A441" w:color="auto" w:val="clear"/>
            <w:tcMar>
              <w:top w:type="dxa" w:w="80"/>
              <w:left w:type="dxa" w:w="110"/>
              <w:bottom w:type="dxa" w:w="80"/>
              <w:right w:type="dxa" w:w="110"/>
            </w:tcMar>
          </w:tcPr>
          <w:p>
            <w:pPr>
              <w:spacing w:after="0" w:before="0"/>
            </w:pPr>
            <w:r>
              <w:rPr>
                <w:b/>
                <w:bCs/>
                <w:color w:val="2B2318"/>
                <w:sz w:val="18"/>
                <w:szCs w:val="18"/>
              </w:rPr>
              <w:t xml:space="preserve">Sachurteil</w:t>
            </w:r>
          </w:p>
        </w:tc>
        <w:tc>
          <w:tcPr>
            <w:tcW w:type="dxa" w:w="3688"/>
            <w:tcBorders>
              <w:top w:val="single" w:color="BFB5A5" w:sz="4"/>
              <w:left w:val="single" w:color="BFB5A5" w:sz="4"/>
              <w:bottom w:val="single" w:color="BFB5A5" w:sz="4"/>
              <w:right w:val="single" w:color="BFB5A5" w:sz="4"/>
            </w:tcBorders>
            <w:tcMar>
              <w:top w:type="dxa" w:w="80"/>
              <w:left w:type="dxa" w:w="110"/>
              <w:bottom w:type="dxa" w:w="80"/>
              <w:right w:type="dxa" w:w="110"/>
            </w:tcMar>
          </w:tcPr>
          <w:p>
            <w:pPr>
              <w:spacing w:after="0" w:before="0"/>
            </w:pPr>
            <w:r>
              <w:rPr>
                <w:sz w:val="18"/>
                <w:szCs w:val="18"/>
              </w:rPr>
              <w:t xml:space="preserve">Erklärt eine Funktion aus den Bedingungen der Zeit heraus und begründet („weil“).</w:t>
            </w:r>
          </w:p>
        </w:tc>
      </w:tr>
      <w:tr>
        <w:trPr>
          <w:cantSplit/>
        </w:trPr>
        <w:tc>
          <w:tcPr>
            <w:tcW w:type="dxa" w:w="560"/>
            <w:tcBorders>
              <w:top w:val="single" w:color="BFB5A5" w:sz="4"/>
              <w:left w:val="single" w:color="BFB5A5" w:sz="4"/>
              <w:bottom w:val="single" w:color="BFB5A5" w:sz="4"/>
              <w:right w:val="single" w:color="BFB5A5" w:sz="4"/>
            </w:tcBorders>
            <w:tcMar>
              <w:top w:type="dxa" w:w="80"/>
              <w:left w:type="dxa" w:w="110"/>
              <w:bottom w:type="dxa" w:w="80"/>
              <w:right w:type="dxa" w:w="110"/>
            </w:tcMar>
          </w:tcPr>
          <w:p>
            <w:pPr>
              <w:spacing w:after="0" w:before="0"/>
            </w:pPr>
            <w:r>
              <w:rPr>
                <w:rFonts w:ascii="Cambria" w:cs="Cambria" w:eastAsia="Cambria" w:hAnsi="Cambria"/>
                <w:b/>
                <w:bCs/>
                <w:color w:val="AD4426"/>
                <w:sz w:val="22"/>
                <w:szCs w:val="22"/>
              </w:rPr>
              <w:t xml:space="preserve">D</w:t>
            </w:r>
          </w:p>
        </w:tc>
        <w:tc>
          <w:tcPr>
            <w:tcW w:type="dxa" w:w="3740"/>
            <w:tcBorders>
              <w:top w:val="single" w:color="BFB5A5" w:sz="4"/>
              <w:left w:val="single" w:color="BFB5A5" w:sz="4"/>
              <w:bottom w:val="single" w:color="BFB5A5" w:sz="4"/>
              <w:right w:val="single" w:color="BFB5A5" w:sz="4"/>
            </w:tcBorders>
            <w:tcMar>
              <w:top w:type="dxa" w:w="80"/>
              <w:left w:type="dxa" w:w="110"/>
              <w:bottom w:type="dxa" w:w="80"/>
              <w:right w:type="dxa" w:w="110"/>
            </w:tcMar>
          </w:tcPr>
          <w:p>
            <w:pPr>
              <w:spacing w:after="0" w:before="0"/>
            </w:pPr>
            <w:r>
              <w:rPr>
                <w:sz w:val="18"/>
                <w:szCs w:val="18"/>
              </w:rPr>
              <w:t xml:space="preserve">Die Griechen hätten die Frauen an der Politik beteiligen müssen.</w:t>
            </w:r>
          </w:p>
        </w:tc>
        <w:tc>
          <w:tcPr>
            <w:tcW w:type="dxa" w:w="1650"/>
            <w:tcBorders>
              <w:top w:val="single" w:color="BFB5A5" w:sz="4"/>
              <w:left w:val="single" w:color="BFB5A5" w:sz="4"/>
              <w:bottom w:val="single" w:color="BFB5A5" w:sz="4"/>
              <w:right w:val="single" w:color="BFB5A5" w:sz="4"/>
            </w:tcBorders>
            <w:shd w:fill="AD4426" w:color="auto" w:val="clear"/>
            <w:tcMar>
              <w:top w:type="dxa" w:w="80"/>
              <w:left w:type="dxa" w:w="110"/>
              <w:bottom w:type="dxa" w:w="80"/>
              <w:right w:type="dxa" w:w="110"/>
            </w:tcMar>
          </w:tcPr>
          <w:p>
            <w:pPr>
              <w:spacing w:after="0" w:before="0"/>
            </w:pPr>
            <w:r>
              <w:rPr>
                <w:b/>
                <w:bCs/>
                <w:color w:val="FFFFFF"/>
                <w:sz w:val="18"/>
                <w:szCs w:val="18"/>
              </w:rPr>
              <w:t xml:space="preserve">Werturteil</w:t>
            </w:r>
          </w:p>
        </w:tc>
        <w:tc>
          <w:tcPr>
            <w:tcW w:type="dxa" w:w="3688"/>
            <w:tcBorders>
              <w:top w:val="single" w:color="BFB5A5" w:sz="4"/>
              <w:left w:val="single" w:color="BFB5A5" w:sz="4"/>
              <w:bottom w:val="single" w:color="BFB5A5" w:sz="4"/>
              <w:right w:val="single" w:color="BFB5A5" w:sz="4"/>
            </w:tcBorders>
            <w:shd w:fill="FBEFE9" w:color="auto" w:val="clear"/>
            <w:tcMar>
              <w:top w:type="dxa" w:w="80"/>
              <w:left w:type="dxa" w:w="110"/>
              <w:bottom w:type="dxa" w:w="80"/>
              <w:right w:type="dxa" w:w="110"/>
            </w:tcMar>
          </w:tcPr>
          <w:p>
            <w:pPr>
              <w:spacing w:after="0" w:before="0"/>
            </w:pPr>
            <w:r>
              <w:rPr>
                <w:sz w:val="18"/>
                <w:szCs w:val="18"/>
              </w:rPr>
              <w:t xml:space="preserve">STRITTIG: Klingt wie ein Urteil über die damalige Zeit, legt aber einen heutigen Maßstab an (Präsentismus). Als Sachurteil unbrauchbar, als Werturteil fehlen Maßstab und Begründung. Mit K vergleichen lassen.</w:t>
            </w:r>
          </w:p>
        </w:tc>
      </w:tr>
      <w:tr>
        <w:trPr>
          <w:cantSplit/>
        </w:trPr>
        <w:tc>
          <w:tcPr>
            <w:tcW w:type="dxa" w:w="560"/>
            <w:tcBorders>
              <w:top w:val="single" w:color="BFB5A5" w:sz="4"/>
              <w:left w:val="single" w:color="BFB5A5" w:sz="4"/>
              <w:bottom w:val="single" w:color="BFB5A5" w:sz="4"/>
              <w:right w:val="single" w:color="BFB5A5" w:sz="4"/>
            </w:tcBorders>
            <w:tcMar>
              <w:top w:type="dxa" w:w="80"/>
              <w:left w:type="dxa" w:w="110"/>
              <w:bottom w:type="dxa" w:w="80"/>
              <w:right w:type="dxa" w:w="110"/>
            </w:tcMar>
          </w:tcPr>
          <w:p>
            <w:pPr>
              <w:spacing w:after="0" w:before="0"/>
            </w:pPr>
            <w:r>
              <w:rPr>
                <w:rFonts w:ascii="Cambria" w:cs="Cambria" w:eastAsia="Cambria" w:hAnsi="Cambria"/>
                <w:b/>
                <w:bCs/>
                <w:color w:val="AD4426"/>
                <w:sz w:val="22"/>
                <w:szCs w:val="22"/>
              </w:rPr>
              <w:t xml:space="preserve">E</w:t>
            </w:r>
          </w:p>
        </w:tc>
        <w:tc>
          <w:tcPr>
            <w:tcW w:type="dxa" w:w="3740"/>
            <w:tcBorders>
              <w:top w:val="single" w:color="BFB5A5" w:sz="4"/>
              <w:left w:val="single" w:color="BFB5A5" w:sz="4"/>
              <w:bottom w:val="single" w:color="BFB5A5" w:sz="4"/>
              <w:right w:val="single" w:color="BFB5A5" w:sz="4"/>
            </w:tcBorders>
            <w:tcMar>
              <w:top w:type="dxa" w:w="80"/>
              <w:left w:type="dxa" w:w="110"/>
              <w:bottom w:type="dxa" w:w="80"/>
              <w:right w:type="dxa" w:w="110"/>
            </w:tcMar>
          </w:tcPr>
          <w:p>
            <w:pPr>
              <w:spacing w:after="0" w:before="0"/>
            </w:pPr>
            <w:r>
              <w:rPr>
                <w:sz w:val="18"/>
                <w:szCs w:val="18"/>
              </w:rPr>
              <w:t xml:space="preserve">Bis ins 7. Jahrhundert v. Chr. lag die Rechtsprechung in Athen allein beim grundbesitzenden Adel.</w:t>
            </w:r>
          </w:p>
        </w:tc>
        <w:tc>
          <w:tcPr>
            <w:tcW w:type="dxa" w:w="1650"/>
            <w:tcBorders>
              <w:top w:val="single" w:color="BFB5A5" w:sz="4"/>
              <w:left w:val="single" w:color="BFB5A5" w:sz="4"/>
              <w:bottom w:val="single" w:color="BFB5A5" w:sz="4"/>
              <w:right w:val="single" w:color="BFB5A5" w:sz="4"/>
            </w:tcBorders>
            <w:shd w:fill="5A5044" w:color="auto" w:val="clear"/>
            <w:tcMar>
              <w:top w:type="dxa" w:w="80"/>
              <w:left w:type="dxa" w:w="110"/>
              <w:bottom w:type="dxa" w:w="80"/>
              <w:right w:type="dxa" w:w="110"/>
            </w:tcMar>
          </w:tcPr>
          <w:p>
            <w:pPr>
              <w:spacing w:after="0" w:before="0"/>
            </w:pPr>
            <w:r>
              <w:rPr>
                <w:b/>
                <w:bCs/>
                <w:color w:val="FFFFFF"/>
                <w:sz w:val="18"/>
                <w:szCs w:val="18"/>
              </w:rPr>
              <w:t xml:space="preserve">Beschreibung</w:t>
            </w:r>
          </w:p>
        </w:tc>
        <w:tc>
          <w:tcPr>
            <w:tcW w:type="dxa" w:w="3688"/>
            <w:tcBorders>
              <w:top w:val="single" w:color="BFB5A5" w:sz="4"/>
              <w:left w:val="single" w:color="BFB5A5" w:sz="4"/>
              <w:bottom w:val="single" w:color="BFB5A5" w:sz="4"/>
              <w:right w:val="single" w:color="BFB5A5" w:sz="4"/>
            </w:tcBorders>
            <w:tcMar>
              <w:top w:type="dxa" w:w="80"/>
              <w:left w:type="dxa" w:w="110"/>
              <w:bottom w:type="dxa" w:w="80"/>
              <w:right w:type="dxa" w:w="110"/>
            </w:tcMar>
          </w:tcPr>
          <w:p>
            <w:pPr>
              <w:spacing w:after="0" w:before="0"/>
            </w:pPr>
            <w:r>
              <w:rPr>
                <w:sz w:val="18"/>
                <w:szCs w:val="18"/>
              </w:rPr>
              <w:t xml:space="preserve">Überprüfbare Tatsache (vgl. LB S. 20).</w:t>
            </w:r>
          </w:p>
        </w:tc>
      </w:tr>
      <w:tr>
        <w:trPr>
          <w:cantSplit/>
        </w:trPr>
        <w:tc>
          <w:tcPr>
            <w:tcW w:type="dxa" w:w="560"/>
            <w:tcBorders>
              <w:top w:val="single" w:color="BFB5A5" w:sz="4"/>
              <w:left w:val="single" w:color="BFB5A5" w:sz="4"/>
              <w:bottom w:val="single" w:color="BFB5A5" w:sz="4"/>
              <w:right w:val="single" w:color="BFB5A5" w:sz="4"/>
            </w:tcBorders>
            <w:tcMar>
              <w:top w:type="dxa" w:w="80"/>
              <w:left w:type="dxa" w:w="110"/>
              <w:bottom w:type="dxa" w:w="80"/>
              <w:right w:type="dxa" w:w="110"/>
            </w:tcMar>
          </w:tcPr>
          <w:p>
            <w:pPr>
              <w:spacing w:after="0" w:before="0"/>
            </w:pPr>
            <w:r>
              <w:rPr>
                <w:rFonts w:ascii="Cambria" w:cs="Cambria" w:eastAsia="Cambria" w:hAnsi="Cambria"/>
                <w:b/>
                <w:bCs/>
                <w:color w:val="AD4426"/>
                <w:sz w:val="22"/>
                <w:szCs w:val="22"/>
              </w:rPr>
              <w:t xml:space="preserve">F</w:t>
            </w:r>
          </w:p>
        </w:tc>
        <w:tc>
          <w:tcPr>
            <w:tcW w:type="dxa" w:w="3740"/>
            <w:tcBorders>
              <w:top w:val="single" w:color="BFB5A5" w:sz="4"/>
              <w:left w:val="single" w:color="BFB5A5" w:sz="4"/>
              <w:bottom w:val="single" w:color="BFB5A5" w:sz="4"/>
              <w:right w:val="single" w:color="BFB5A5" w:sz="4"/>
            </w:tcBorders>
            <w:tcMar>
              <w:top w:type="dxa" w:w="80"/>
              <w:left w:type="dxa" w:w="110"/>
              <w:bottom w:type="dxa" w:w="80"/>
              <w:right w:type="dxa" w:w="110"/>
            </w:tcMar>
          </w:tcPr>
          <w:p>
            <w:pPr>
              <w:spacing w:after="0" w:before="0"/>
            </w:pPr>
            <w:r>
              <w:rPr>
                <w:sz w:val="18"/>
                <w:szCs w:val="18"/>
              </w:rPr>
              <w:t xml:space="preserve">Aus Sicht der Adligen war ihre Herrschaft berechtigt, weil sie das meiste Land besaßen und als Krieger die Polis verteidigten.</w:t>
            </w:r>
          </w:p>
        </w:tc>
        <w:tc>
          <w:tcPr>
            <w:tcW w:type="dxa" w:w="1650"/>
            <w:tcBorders>
              <w:top w:val="single" w:color="BFB5A5" w:sz="4"/>
              <w:left w:val="single" w:color="BFB5A5" w:sz="4"/>
              <w:bottom w:val="single" w:color="BFB5A5" w:sz="4"/>
              <w:right w:val="single" w:color="BFB5A5" w:sz="4"/>
            </w:tcBorders>
            <w:shd w:fill="D9A441" w:color="auto" w:val="clear"/>
            <w:tcMar>
              <w:top w:type="dxa" w:w="80"/>
              <w:left w:type="dxa" w:w="110"/>
              <w:bottom w:type="dxa" w:w="80"/>
              <w:right w:type="dxa" w:w="110"/>
            </w:tcMar>
          </w:tcPr>
          <w:p>
            <w:pPr>
              <w:spacing w:after="0" w:before="0"/>
            </w:pPr>
            <w:r>
              <w:rPr>
                <w:b/>
                <w:bCs/>
                <w:color w:val="2B2318"/>
                <w:sz w:val="18"/>
                <w:szCs w:val="18"/>
              </w:rPr>
              <w:t xml:space="preserve">Sachurteil</w:t>
            </w:r>
          </w:p>
        </w:tc>
        <w:tc>
          <w:tcPr>
            <w:tcW w:type="dxa" w:w="3688"/>
            <w:tcBorders>
              <w:top w:val="single" w:color="BFB5A5" w:sz="4"/>
              <w:left w:val="single" w:color="BFB5A5" w:sz="4"/>
              <w:bottom w:val="single" w:color="BFB5A5" w:sz="4"/>
              <w:right w:val="single" w:color="BFB5A5" w:sz="4"/>
            </w:tcBorders>
            <w:tcMar>
              <w:top w:type="dxa" w:w="80"/>
              <w:left w:type="dxa" w:w="110"/>
              <w:bottom w:type="dxa" w:w="80"/>
              <w:right w:type="dxa" w:w="110"/>
            </w:tcMar>
          </w:tcPr>
          <w:p>
            <w:pPr>
              <w:spacing w:after="0" w:before="0"/>
            </w:pPr>
            <w:r>
              <w:rPr>
                <w:sz w:val="18"/>
                <w:szCs w:val="18"/>
              </w:rPr>
              <w:t xml:space="preserve">Sachurteil aus einer bestimmten Perspektive. Es sagt nicht, dass die Herrschaft gut war, sondern wie sie damals begründet wurde (Perspektivität, vgl. BM 1).</w:t>
            </w:r>
          </w:p>
        </w:tc>
      </w:tr>
      <w:tr>
        <w:trPr>
          <w:cantSplit/>
        </w:trPr>
        <w:tc>
          <w:tcPr>
            <w:tcW w:type="dxa" w:w="560"/>
            <w:tcBorders>
              <w:top w:val="single" w:color="BFB5A5" w:sz="4"/>
              <w:left w:val="single" w:color="BFB5A5" w:sz="4"/>
              <w:bottom w:val="single" w:color="BFB5A5" w:sz="4"/>
              <w:right w:val="single" w:color="BFB5A5" w:sz="4"/>
            </w:tcBorders>
            <w:tcMar>
              <w:top w:type="dxa" w:w="80"/>
              <w:left w:type="dxa" w:w="110"/>
              <w:bottom w:type="dxa" w:w="80"/>
              <w:right w:type="dxa" w:w="110"/>
            </w:tcMar>
          </w:tcPr>
          <w:p>
            <w:pPr>
              <w:spacing w:after="0" w:before="0"/>
            </w:pPr>
            <w:r>
              <w:rPr>
                <w:rFonts w:ascii="Cambria" w:cs="Cambria" w:eastAsia="Cambria" w:hAnsi="Cambria"/>
                <w:b/>
                <w:bCs/>
                <w:color w:val="AD4426"/>
                <w:sz w:val="22"/>
                <w:szCs w:val="22"/>
              </w:rPr>
              <w:t xml:space="preserve">G</w:t>
            </w:r>
          </w:p>
        </w:tc>
        <w:tc>
          <w:tcPr>
            <w:tcW w:type="dxa" w:w="3740"/>
            <w:tcBorders>
              <w:top w:val="single" w:color="BFB5A5" w:sz="4"/>
              <w:left w:val="single" w:color="BFB5A5" w:sz="4"/>
              <w:bottom w:val="single" w:color="BFB5A5" w:sz="4"/>
              <w:right w:val="single" w:color="BFB5A5" w:sz="4"/>
            </w:tcBorders>
            <w:tcMar>
              <w:top w:type="dxa" w:w="80"/>
              <w:left w:type="dxa" w:w="110"/>
              <w:bottom w:type="dxa" w:w="80"/>
              <w:right w:type="dxa" w:w="110"/>
            </w:tcMar>
          </w:tcPr>
          <w:p>
            <w:pPr>
              <w:spacing w:after="0" w:before="0"/>
            </w:pPr>
            <w:r>
              <w:rPr>
                <w:sz w:val="18"/>
                <w:szCs w:val="18"/>
              </w:rPr>
              <w:t xml:space="preserve">Eine Herrschaft weniger Familien ist aus heutiger Sicht abzulehnen, weil sie dem Grundsatz widerspricht, dass alle Menschen gleiche Rechte haben.</w:t>
            </w:r>
          </w:p>
        </w:tc>
        <w:tc>
          <w:tcPr>
            <w:tcW w:type="dxa" w:w="1650"/>
            <w:tcBorders>
              <w:top w:val="single" w:color="BFB5A5" w:sz="4"/>
              <w:left w:val="single" w:color="BFB5A5" w:sz="4"/>
              <w:bottom w:val="single" w:color="BFB5A5" w:sz="4"/>
              <w:right w:val="single" w:color="BFB5A5" w:sz="4"/>
            </w:tcBorders>
            <w:shd w:fill="AD4426" w:color="auto" w:val="clear"/>
            <w:tcMar>
              <w:top w:type="dxa" w:w="80"/>
              <w:left w:type="dxa" w:w="110"/>
              <w:bottom w:type="dxa" w:w="80"/>
              <w:right w:type="dxa" w:w="110"/>
            </w:tcMar>
          </w:tcPr>
          <w:p>
            <w:pPr>
              <w:spacing w:after="0" w:before="0"/>
            </w:pPr>
            <w:r>
              <w:rPr>
                <w:b/>
                <w:bCs/>
                <w:color w:val="FFFFFF"/>
                <w:sz w:val="18"/>
                <w:szCs w:val="18"/>
              </w:rPr>
              <w:t xml:space="preserve">Werturteil</w:t>
            </w:r>
          </w:p>
        </w:tc>
        <w:tc>
          <w:tcPr>
            <w:tcW w:type="dxa" w:w="3688"/>
            <w:tcBorders>
              <w:top w:val="single" w:color="BFB5A5" w:sz="4"/>
              <w:left w:val="single" w:color="BFB5A5" w:sz="4"/>
              <w:bottom w:val="single" w:color="BFB5A5" w:sz="4"/>
              <w:right w:val="single" w:color="BFB5A5" w:sz="4"/>
            </w:tcBorders>
            <w:tcMar>
              <w:top w:type="dxa" w:w="80"/>
              <w:left w:type="dxa" w:w="110"/>
              <w:bottom w:type="dxa" w:w="80"/>
              <w:right w:type="dxa" w:w="110"/>
            </w:tcMar>
          </w:tcPr>
          <w:p>
            <w:pPr>
              <w:spacing w:after="0" w:before="0"/>
            </w:pPr>
            <w:r>
              <w:rPr>
                <w:sz w:val="18"/>
                <w:szCs w:val="18"/>
              </w:rPr>
              <w:t xml:space="preserve">Gutes Werturteil: heutiger Maßstab wird offengelegt und begründet.</w:t>
            </w:r>
          </w:p>
        </w:tc>
      </w:tr>
      <w:tr>
        <w:trPr>
          <w:cantSplit/>
        </w:trPr>
        <w:tc>
          <w:tcPr>
            <w:tcW w:type="dxa" w:w="560"/>
            <w:tcBorders>
              <w:top w:val="single" w:color="BFB5A5" w:sz="4"/>
              <w:left w:val="single" w:color="BFB5A5" w:sz="4"/>
              <w:bottom w:val="single" w:color="BFB5A5" w:sz="4"/>
              <w:right w:val="single" w:color="BFB5A5" w:sz="4"/>
            </w:tcBorders>
            <w:tcMar>
              <w:top w:type="dxa" w:w="80"/>
              <w:left w:type="dxa" w:w="110"/>
              <w:bottom w:type="dxa" w:w="80"/>
              <w:right w:type="dxa" w:w="110"/>
            </w:tcMar>
          </w:tcPr>
          <w:p>
            <w:pPr>
              <w:spacing w:after="0" w:before="0"/>
            </w:pPr>
            <w:r>
              <w:rPr>
                <w:rFonts w:ascii="Cambria" w:cs="Cambria" w:eastAsia="Cambria" w:hAnsi="Cambria"/>
                <w:b/>
                <w:bCs/>
                <w:color w:val="AD4426"/>
                <w:sz w:val="22"/>
                <w:szCs w:val="22"/>
              </w:rPr>
              <w:t xml:space="preserve">H</w:t>
            </w:r>
          </w:p>
        </w:tc>
        <w:tc>
          <w:tcPr>
            <w:tcW w:type="dxa" w:w="3740"/>
            <w:tcBorders>
              <w:top w:val="single" w:color="BFB5A5" w:sz="4"/>
              <w:left w:val="single" w:color="BFB5A5" w:sz="4"/>
              <w:bottom w:val="single" w:color="BFB5A5" w:sz="4"/>
              <w:right w:val="single" w:color="BFB5A5" w:sz="4"/>
            </w:tcBorders>
            <w:tcMar>
              <w:top w:type="dxa" w:w="80"/>
              <w:left w:type="dxa" w:w="110"/>
              <w:bottom w:type="dxa" w:w="80"/>
              <w:right w:type="dxa" w:w="110"/>
            </w:tcMar>
          </w:tcPr>
          <w:p>
            <w:pPr>
              <w:spacing w:after="0" w:before="0"/>
            </w:pPr>
            <w:r>
              <w:rPr>
                <w:sz w:val="18"/>
                <w:szCs w:val="18"/>
              </w:rPr>
              <w:t xml:space="preserve">Die griechische Kolonisation war erfolgreich.</w:t>
            </w:r>
          </w:p>
        </w:tc>
        <w:tc>
          <w:tcPr>
            <w:tcW w:type="dxa" w:w="1650"/>
            <w:tcBorders>
              <w:top w:val="single" w:color="BFB5A5" w:sz="4"/>
              <w:left w:val="single" w:color="BFB5A5" w:sz="4"/>
              <w:bottom w:val="single" w:color="BFB5A5" w:sz="4"/>
              <w:right w:val="single" w:color="BFB5A5" w:sz="4"/>
            </w:tcBorders>
            <w:shd w:fill="D9A441" w:color="auto" w:val="clear"/>
            <w:tcMar>
              <w:top w:type="dxa" w:w="80"/>
              <w:left w:type="dxa" w:w="110"/>
              <w:bottom w:type="dxa" w:w="80"/>
              <w:right w:type="dxa" w:w="110"/>
            </w:tcMar>
          </w:tcPr>
          <w:p>
            <w:pPr>
              <w:spacing w:after="0" w:before="0"/>
            </w:pPr>
            <w:r>
              <w:rPr>
                <w:b/>
                <w:bCs/>
                <w:color w:val="2B2318"/>
                <w:sz w:val="18"/>
                <w:szCs w:val="18"/>
              </w:rPr>
              <w:t xml:space="preserve">Sachurteil</w:t>
            </w:r>
          </w:p>
        </w:tc>
        <w:tc>
          <w:tcPr>
            <w:tcW w:type="dxa" w:w="3688"/>
            <w:tcBorders>
              <w:top w:val="single" w:color="BFB5A5" w:sz="4"/>
              <w:left w:val="single" w:color="BFB5A5" w:sz="4"/>
              <w:bottom w:val="single" w:color="BFB5A5" w:sz="4"/>
              <w:right w:val="single" w:color="BFB5A5" w:sz="4"/>
            </w:tcBorders>
            <w:shd w:fill="FBEFE9" w:color="auto" w:val="clear"/>
            <w:tcMar>
              <w:top w:type="dxa" w:w="80"/>
              <w:left w:type="dxa" w:w="110"/>
              <w:bottom w:type="dxa" w:w="80"/>
              <w:right w:type="dxa" w:w="110"/>
            </w:tcMar>
          </w:tcPr>
          <w:p>
            <w:pPr>
              <w:spacing w:after="0" w:before="0"/>
            </w:pPr>
            <w:r>
              <w:rPr>
                <w:sz w:val="18"/>
                <w:szCs w:val="18"/>
              </w:rPr>
              <w:t xml:space="preserve">STRITTIG: Ein Urteil über Erfolg ist ein Sachurteil, aber unvollständig. Erfolgreich für wen (Mutterstädte? Einheimische?) und woran gemessen? Kriterien und Begründung fehlen.</w:t>
            </w:r>
          </w:p>
        </w:tc>
      </w:tr>
      <w:tr>
        <w:trPr>
          <w:cantSplit/>
        </w:trPr>
        <w:tc>
          <w:tcPr>
            <w:tcW w:type="dxa" w:w="560"/>
            <w:tcBorders>
              <w:top w:val="single" w:color="BFB5A5" w:sz="4"/>
              <w:left w:val="single" w:color="BFB5A5" w:sz="4"/>
              <w:bottom w:val="single" w:color="BFB5A5" w:sz="4"/>
              <w:right w:val="single" w:color="BFB5A5" w:sz="4"/>
            </w:tcBorders>
            <w:tcMar>
              <w:top w:type="dxa" w:w="80"/>
              <w:left w:type="dxa" w:w="110"/>
              <w:bottom w:type="dxa" w:w="80"/>
              <w:right w:type="dxa" w:w="110"/>
            </w:tcMar>
          </w:tcPr>
          <w:p>
            <w:pPr>
              <w:spacing w:after="0" w:before="0"/>
            </w:pPr>
            <w:r>
              <w:rPr>
                <w:rFonts w:ascii="Cambria" w:cs="Cambria" w:eastAsia="Cambria" w:hAnsi="Cambria"/>
                <w:b/>
                <w:bCs/>
                <w:color w:val="AD4426"/>
                <w:sz w:val="22"/>
                <w:szCs w:val="22"/>
              </w:rPr>
              <w:t xml:space="preserve">I</w:t>
            </w:r>
          </w:p>
        </w:tc>
        <w:tc>
          <w:tcPr>
            <w:tcW w:type="dxa" w:w="3740"/>
            <w:tcBorders>
              <w:top w:val="single" w:color="BFB5A5" w:sz="4"/>
              <w:left w:val="single" w:color="BFB5A5" w:sz="4"/>
              <w:bottom w:val="single" w:color="BFB5A5" w:sz="4"/>
              <w:right w:val="single" w:color="BFB5A5" w:sz="4"/>
            </w:tcBorders>
            <w:tcMar>
              <w:top w:type="dxa" w:w="80"/>
              <w:left w:type="dxa" w:w="110"/>
              <w:bottom w:type="dxa" w:w="80"/>
              <w:right w:type="dxa" w:w="110"/>
            </w:tcMar>
          </w:tcPr>
          <w:p>
            <w:pPr>
              <w:spacing w:after="0" w:before="0"/>
            </w:pPr>
            <w:r>
              <w:rPr>
                <w:sz w:val="18"/>
                <w:szCs w:val="18"/>
              </w:rPr>
              <w:t xml:space="preserve">Die Akropolis war ein Burgberg mit Tempeln, der bei Gefahr als Rückzugsort diente.</w:t>
            </w:r>
          </w:p>
        </w:tc>
        <w:tc>
          <w:tcPr>
            <w:tcW w:type="dxa" w:w="1650"/>
            <w:tcBorders>
              <w:top w:val="single" w:color="BFB5A5" w:sz="4"/>
              <w:left w:val="single" w:color="BFB5A5" w:sz="4"/>
              <w:bottom w:val="single" w:color="BFB5A5" w:sz="4"/>
              <w:right w:val="single" w:color="BFB5A5" w:sz="4"/>
            </w:tcBorders>
            <w:shd w:fill="5A5044" w:color="auto" w:val="clear"/>
            <w:tcMar>
              <w:top w:type="dxa" w:w="80"/>
              <w:left w:type="dxa" w:w="110"/>
              <w:bottom w:type="dxa" w:w="80"/>
              <w:right w:type="dxa" w:w="110"/>
            </w:tcMar>
          </w:tcPr>
          <w:p>
            <w:pPr>
              <w:spacing w:after="0" w:before="0"/>
            </w:pPr>
            <w:r>
              <w:rPr>
                <w:b/>
                <w:bCs/>
                <w:color w:val="FFFFFF"/>
                <w:sz w:val="18"/>
                <w:szCs w:val="18"/>
              </w:rPr>
              <w:t xml:space="preserve">Beschreibung</w:t>
            </w:r>
          </w:p>
        </w:tc>
        <w:tc>
          <w:tcPr>
            <w:tcW w:type="dxa" w:w="3688"/>
            <w:tcBorders>
              <w:top w:val="single" w:color="BFB5A5" w:sz="4"/>
              <w:left w:val="single" w:color="BFB5A5" w:sz="4"/>
              <w:bottom w:val="single" w:color="BFB5A5" w:sz="4"/>
              <w:right w:val="single" w:color="BFB5A5" w:sz="4"/>
            </w:tcBorders>
            <w:tcMar>
              <w:top w:type="dxa" w:w="80"/>
              <w:left w:type="dxa" w:w="110"/>
              <w:bottom w:type="dxa" w:w="80"/>
              <w:right w:type="dxa" w:w="110"/>
            </w:tcMar>
          </w:tcPr>
          <w:p>
            <w:pPr>
              <w:spacing w:after="0" w:before="0"/>
            </w:pPr>
            <w:r>
              <w:rPr>
                <w:sz w:val="18"/>
                <w:szCs w:val="18"/>
              </w:rPr>
              <w:t xml:space="preserve">Überprüfbare Tatsache.</w:t>
            </w:r>
          </w:p>
        </w:tc>
      </w:tr>
      <w:tr>
        <w:trPr>
          <w:cantSplit/>
        </w:trPr>
        <w:tc>
          <w:tcPr>
            <w:tcW w:type="dxa" w:w="560"/>
            <w:tcBorders>
              <w:top w:val="single" w:color="BFB5A5" w:sz="4"/>
              <w:left w:val="single" w:color="BFB5A5" w:sz="4"/>
              <w:bottom w:val="single" w:color="BFB5A5" w:sz="4"/>
              <w:right w:val="single" w:color="BFB5A5" w:sz="4"/>
            </w:tcBorders>
            <w:tcMar>
              <w:top w:type="dxa" w:w="80"/>
              <w:left w:type="dxa" w:w="110"/>
              <w:bottom w:type="dxa" w:w="80"/>
              <w:right w:type="dxa" w:w="110"/>
            </w:tcMar>
          </w:tcPr>
          <w:p>
            <w:pPr>
              <w:spacing w:after="0" w:before="0"/>
            </w:pPr>
            <w:r>
              <w:rPr>
                <w:rFonts w:ascii="Cambria" w:cs="Cambria" w:eastAsia="Cambria" w:hAnsi="Cambria"/>
                <w:b/>
                <w:bCs/>
                <w:color w:val="AD4426"/>
                <w:sz w:val="22"/>
                <w:szCs w:val="22"/>
              </w:rPr>
              <w:t xml:space="preserve">J</w:t>
            </w:r>
          </w:p>
        </w:tc>
        <w:tc>
          <w:tcPr>
            <w:tcW w:type="dxa" w:w="3740"/>
            <w:tcBorders>
              <w:top w:val="single" w:color="BFB5A5" w:sz="4"/>
              <w:left w:val="single" w:color="BFB5A5" w:sz="4"/>
              <w:bottom w:val="single" w:color="BFB5A5" w:sz="4"/>
              <w:right w:val="single" w:color="BFB5A5" w:sz="4"/>
            </w:tcBorders>
            <w:tcMar>
              <w:top w:type="dxa" w:w="80"/>
              <w:left w:type="dxa" w:w="110"/>
              <w:bottom w:type="dxa" w:w="80"/>
              <w:right w:type="dxa" w:w="110"/>
            </w:tcMar>
          </w:tcPr>
          <w:p>
            <w:pPr>
              <w:spacing w:after="0" w:before="0"/>
            </w:pPr>
            <w:r>
              <w:rPr>
                <w:sz w:val="18"/>
                <w:szCs w:val="18"/>
              </w:rPr>
              <w:t xml:space="preserve">Die Adelsherrschaft geriet um 600 v. Chr. an ihre Grenzen, weil sie die Konflikte mit den verarmten Bauern nicht mehr lösen konnte.</w:t>
            </w:r>
          </w:p>
        </w:tc>
        <w:tc>
          <w:tcPr>
            <w:tcW w:type="dxa" w:w="1650"/>
            <w:tcBorders>
              <w:top w:val="single" w:color="BFB5A5" w:sz="4"/>
              <w:left w:val="single" w:color="BFB5A5" w:sz="4"/>
              <w:bottom w:val="single" w:color="BFB5A5" w:sz="4"/>
              <w:right w:val="single" w:color="BFB5A5" w:sz="4"/>
            </w:tcBorders>
            <w:shd w:fill="D9A441" w:color="auto" w:val="clear"/>
            <w:tcMar>
              <w:top w:type="dxa" w:w="80"/>
              <w:left w:type="dxa" w:w="110"/>
              <w:bottom w:type="dxa" w:w="80"/>
              <w:right w:type="dxa" w:w="110"/>
            </w:tcMar>
          </w:tcPr>
          <w:p>
            <w:pPr>
              <w:spacing w:after="0" w:before="0"/>
            </w:pPr>
            <w:r>
              <w:rPr>
                <w:b/>
                <w:bCs/>
                <w:color w:val="2B2318"/>
                <w:sz w:val="18"/>
                <w:szCs w:val="18"/>
              </w:rPr>
              <w:t xml:space="preserve">Sachurteil</w:t>
            </w:r>
          </w:p>
        </w:tc>
        <w:tc>
          <w:tcPr>
            <w:tcW w:type="dxa" w:w="3688"/>
            <w:tcBorders>
              <w:top w:val="single" w:color="BFB5A5" w:sz="4"/>
              <w:left w:val="single" w:color="BFB5A5" w:sz="4"/>
              <w:bottom w:val="single" w:color="BFB5A5" w:sz="4"/>
              <w:right w:val="single" w:color="BFB5A5" w:sz="4"/>
            </w:tcBorders>
            <w:tcMar>
              <w:top w:type="dxa" w:w="80"/>
              <w:left w:type="dxa" w:w="110"/>
              <w:bottom w:type="dxa" w:w="80"/>
              <w:right w:type="dxa" w:w="110"/>
            </w:tcMar>
          </w:tcPr>
          <w:p>
            <w:pPr>
              <w:spacing w:after="0" w:before="0"/>
            </w:pPr>
            <w:r>
              <w:rPr>
                <w:sz w:val="18"/>
                <w:szCs w:val="18"/>
              </w:rPr>
              <w:t xml:space="preserve">Beurteilt Ursachen und Folgen im Kontext der Zeit (vgl. LB S. 20). Vorgriff auf Donnerstag.</w:t>
            </w:r>
          </w:p>
        </w:tc>
      </w:tr>
      <w:tr>
        <w:trPr>
          <w:cantSplit/>
        </w:trPr>
        <w:tc>
          <w:tcPr>
            <w:tcW w:type="dxa" w:w="560"/>
            <w:tcBorders>
              <w:top w:val="single" w:color="BFB5A5" w:sz="4"/>
              <w:left w:val="single" w:color="BFB5A5" w:sz="4"/>
              <w:bottom w:val="single" w:color="BFB5A5" w:sz="4"/>
              <w:right w:val="single" w:color="BFB5A5" w:sz="4"/>
            </w:tcBorders>
            <w:tcMar>
              <w:top w:type="dxa" w:w="80"/>
              <w:left w:type="dxa" w:w="110"/>
              <w:bottom w:type="dxa" w:w="80"/>
              <w:right w:type="dxa" w:w="110"/>
            </w:tcMar>
          </w:tcPr>
          <w:p>
            <w:pPr>
              <w:spacing w:after="0" w:before="0"/>
            </w:pPr>
            <w:r>
              <w:rPr>
                <w:rFonts w:ascii="Cambria" w:cs="Cambria" w:eastAsia="Cambria" w:hAnsi="Cambria"/>
                <w:b/>
                <w:bCs/>
                <w:color w:val="AD4426"/>
                <w:sz w:val="22"/>
                <w:szCs w:val="22"/>
              </w:rPr>
              <w:t xml:space="preserve">K</w:t>
            </w:r>
          </w:p>
        </w:tc>
        <w:tc>
          <w:tcPr>
            <w:tcW w:type="dxa" w:w="3740"/>
            <w:tcBorders>
              <w:top w:val="single" w:color="BFB5A5" w:sz="4"/>
              <w:left w:val="single" w:color="BFB5A5" w:sz="4"/>
              <w:bottom w:val="single" w:color="BFB5A5" w:sz="4"/>
              <w:right w:val="single" w:color="BFB5A5" w:sz="4"/>
            </w:tcBorders>
            <w:tcMar>
              <w:top w:type="dxa" w:w="80"/>
              <w:left w:type="dxa" w:w="110"/>
              <w:bottom w:type="dxa" w:w="80"/>
              <w:right w:type="dxa" w:w="110"/>
            </w:tcMar>
          </w:tcPr>
          <w:p>
            <w:pPr>
              <w:spacing w:after="0" w:before="0"/>
            </w:pPr>
            <w:r>
              <w:rPr>
                <w:sz w:val="18"/>
                <w:szCs w:val="18"/>
              </w:rPr>
              <w:t xml:space="preserve">Dass Frauen und Sklaven in der Polis keine politischen Rechte hatten, ist gemessen an der Menschenwürde ungerecht.</w:t>
            </w:r>
          </w:p>
        </w:tc>
        <w:tc>
          <w:tcPr>
            <w:tcW w:type="dxa" w:w="1650"/>
            <w:tcBorders>
              <w:top w:val="single" w:color="BFB5A5" w:sz="4"/>
              <w:left w:val="single" w:color="BFB5A5" w:sz="4"/>
              <w:bottom w:val="single" w:color="BFB5A5" w:sz="4"/>
              <w:right w:val="single" w:color="BFB5A5" w:sz="4"/>
            </w:tcBorders>
            <w:shd w:fill="AD4426" w:color="auto" w:val="clear"/>
            <w:tcMar>
              <w:top w:type="dxa" w:w="80"/>
              <w:left w:type="dxa" w:w="110"/>
              <w:bottom w:type="dxa" w:w="80"/>
              <w:right w:type="dxa" w:w="110"/>
            </w:tcMar>
          </w:tcPr>
          <w:p>
            <w:pPr>
              <w:spacing w:after="0" w:before="0"/>
            </w:pPr>
            <w:r>
              <w:rPr>
                <w:b/>
                <w:bCs/>
                <w:color w:val="FFFFFF"/>
                <w:sz w:val="18"/>
                <w:szCs w:val="18"/>
              </w:rPr>
              <w:t xml:space="preserve">Werturteil</w:t>
            </w:r>
          </w:p>
        </w:tc>
        <w:tc>
          <w:tcPr>
            <w:tcW w:type="dxa" w:w="3688"/>
            <w:tcBorders>
              <w:top w:val="single" w:color="BFB5A5" w:sz="4"/>
              <w:left w:val="single" w:color="BFB5A5" w:sz="4"/>
              <w:bottom w:val="single" w:color="BFB5A5" w:sz="4"/>
              <w:right w:val="single" w:color="BFB5A5" w:sz="4"/>
            </w:tcBorders>
            <w:tcMar>
              <w:top w:type="dxa" w:w="80"/>
              <w:left w:type="dxa" w:w="110"/>
              <w:bottom w:type="dxa" w:w="80"/>
              <w:right w:type="dxa" w:w="110"/>
            </w:tcMar>
          </w:tcPr>
          <w:p>
            <w:pPr>
              <w:spacing w:after="0" w:before="0"/>
            </w:pPr>
            <w:r>
              <w:rPr>
                <w:sz w:val="18"/>
                <w:szCs w:val="18"/>
              </w:rPr>
              <w:t xml:space="preserve">Gutes Werturteil: Maßstab (Menschenwürde) wird genannt. Gegenstück zu D.</w:t>
            </w:r>
          </w:p>
        </w:tc>
      </w:tr>
      <w:tr>
        <w:trPr>
          <w:cantSplit/>
        </w:trPr>
        <w:tc>
          <w:tcPr>
            <w:tcW w:type="dxa" w:w="560"/>
            <w:tcBorders>
              <w:top w:val="single" w:color="BFB5A5" w:sz="4"/>
              <w:left w:val="single" w:color="BFB5A5" w:sz="4"/>
              <w:bottom w:val="single" w:color="BFB5A5" w:sz="4"/>
              <w:right w:val="single" w:color="BFB5A5" w:sz="4"/>
            </w:tcBorders>
            <w:tcMar>
              <w:top w:type="dxa" w:w="80"/>
              <w:left w:type="dxa" w:w="110"/>
              <w:bottom w:type="dxa" w:w="80"/>
              <w:right w:type="dxa" w:w="110"/>
            </w:tcMar>
          </w:tcPr>
          <w:p>
            <w:pPr>
              <w:spacing w:after="0" w:before="0"/>
            </w:pPr>
            <w:r>
              <w:rPr>
                <w:rFonts w:ascii="Cambria" w:cs="Cambria" w:eastAsia="Cambria" w:hAnsi="Cambria"/>
                <w:b/>
                <w:bCs/>
                <w:color w:val="AD4426"/>
                <w:sz w:val="22"/>
                <w:szCs w:val="22"/>
              </w:rPr>
              <w:t xml:space="preserve">L</w:t>
            </w:r>
          </w:p>
        </w:tc>
        <w:tc>
          <w:tcPr>
            <w:tcW w:type="dxa" w:w="3740"/>
            <w:tcBorders>
              <w:top w:val="single" w:color="BFB5A5" w:sz="4"/>
              <w:left w:val="single" w:color="BFB5A5" w:sz="4"/>
              <w:bottom w:val="single" w:color="BFB5A5" w:sz="4"/>
              <w:right w:val="single" w:color="BFB5A5" w:sz="4"/>
            </w:tcBorders>
            <w:tcMar>
              <w:top w:type="dxa" w:w="80"/>
              <w:left w:type="dxa" w:w="110"/>
              <w:bottom w:type="dxa" w:w="80"/>
              <w:right w:type="dxa" w:w="110"/>
            </w:tcMar>
          </w:tcPr>
          <w:p>
            <w:pPr>
              <w:spacing w:after="0" w:before="0"/>
            </w:pPr>
            <w:r>
              <w:rPr>
                <w:sz w:val="18"/>
                <w:szCs w:val="18"/>
              </w:rPr>
              <w:t xml:space="preserve">Die Agora war Marktplatz und Versammlungsort der Polis.</w:t>
            </w:r>
          </w:p>
        </w:tc>
        <w:tc>
          <w:tcPr>
            <w:tcW w:type="dxa" w:w="1650"/>
            <w:tcBorders>
              <w:top w:val="single" w:color="BFB5A5" w:sz="4"/>
              <w:left w:val="single" w:color="BFB5A5" w:sz="4"/>
              <w:bottom w:val="single" w:color="BFB5A5" w:sz="4"/>
              <w:right w:val="single" w:color="BFB5A5" w:sz="4"/>
            </w:tcBorders>
            <w:shd w:fill="5A5044" w:color="auto" w:val="clear"/>
            <w:tcMar>
              <w:top w:type="dxa" w:w="80"/>
              <w:left w:type="dxa" w:w="110"/>
              <w:bottom w:type="dxa" w:w="80"/>
              <w:right w:type="dxa" w:w="110"/>
            </w:tcMar>
          </w:tcPr>
          <w:p>
            <w:pPr>
              <w:spacing w:after="0" w:before="0"/>
            </w:pPr>
            <w:r>
              <w:rPr>
                <w:b/>
                <w:bCs/>
                <w:color w:val="FFFFFF"/>
                <w:sz w:val="18"/>
                <w:szCs w:val="18"/>
              </w:rPr>
              <w:t xml:space="preserve">Beschreibung</w:t>
            </w:r>
          </w:p>
        </w:tc>
        <w:tc>
          <w:tcPr>
            <w:tcW w:type="dxa" w:w="3688"/>
            <w:tcBorders>
              <w:top w:val="single" w:color="BFB5A5" w:sz="4"/>
              <w:left w:val="single" w:color="BFB5A5" w:sz="4"/>
              <w:bottom w:val="single" w:color="BFB5A5" w:sz="4"/>
              <w:right w:val="single" w:color="BFB5A5" w:sz="4"/>
            </w:tcBorders>
            <w:tcMar>
              <w:top w:type="dxa" w:w="80"/>
              <w:left w:type="dxa" w:w="110"/>
              <w:bottom w:type="dxa" w:w="80"/>
              <w:right w:type="dxa" w:w="110"/>
            </w:tcMar>
          </w:tcPr>
          <w:p>
            <w:pPr>
              <w:spacing w:after="0" w:before="0"/>
            </w:pPr>
            <w:r>
              <w:rPr>
                <w:sz w:val="18"/>
                <w:szCs w:val="18"/>
              </w:rPr>
              <w:t xml:space="preserve">Überprüfbare Tatsache.</w:t>
            </w:r>
          </w:p>
        </w:tc>
      </w:tr>
    </w:tbl>
    <w:p>
      <w:pPr>
        <w:keepNext/>
        <w:spacing w:after="100" w:before="200"/>
      </w:pPr>
      <w:r>
        <w:rPr>
          <w:rFonts w:ascii="Cambria" w:cs="Cambria" w:eastAsia="Cambria" w:hAnsi="Cambria"/>
          <w:b/>
          <w:bCs/>
          <w:color w:val="AD4426"/>
          <w:sz w:val="24"/>
          <w:szCs w:val="24"/>
        </w:rPr>
        <w:t xml:space="preserve">Impulse für das Plenum (Folie 6)</w:t>
      </w:r>
    </w:p>
    <w:p>
      <w:pPr>
        <w:spacing w:after="60" w:before="0"/>
      </w:pPr>
      <w:r>
        <w:rPr>
          <w:b/>
          <w:bCs/>
          <w:sz w:val="20"/>
          <w:szCs w:val="20"/>
        </w:rPr>
        <w:t xml:space="preserve">A ↔ G:</w:t>
      </w:r>
      <w:r>
        <w:rPr>
          <w:sz w:val="20"/>
          <w:szCs w:val="20"/>
        </w:rPr>
        <w:t xml:space="preserve"> Beides sind Werturteile. Was macht G besser? → Maßstab und Begründung.</w:t>
      </w:r>
    </w:p>
    <w:p>
      <w:pPr>
        <w:spacing w:after="60" w:before="0"/>
      </w:pPr>
      <w:r>
        <w:rPr>
          <w:b/>
          <w:bCs/>
          <w:sz w:val="20"/>
          <w:szCs w:val="20"/>
        </w:rPr>
        <w:t xml:space="preserve">D ↔ K:</w:t>
      </w:r>
      <w:r>
        <w:rPr>
          <w:sz w:val="20"/>
          <w:szCs w:val="20"/>
        </w:rPr>
        <w:t xml:space="preserve"> Beide kritisieren den Ausschluss der Frauen. D tut so, als hätte es damals diesen Maßstab gegeben (Präsentismus); K legt den heutigen Maßstab offen.</w:t>
      </w:r>
    </w:p>
    <w:p>
      <w:pPr>
        <w:spacing w:after="60" w:before="0"/>
      </w:pPr>
      <w:r>
        <w:rPr>
          <w:b/>
          <w:bCs/>
          <w:sz w:val="20"/>
          <w:szCs w:val="20"/>
        </w:rPr>
        <w:t xml:space="preserve">H:</w:t>
      </w:r>
      <w:r>
        <w:rPr>
          <w:sz w:val="20"/>
          <w:szCs w:val="20"/>
        </w:rPr>
        <w:t xml:space="preserve"> Sachurteile brauchen Kriterien: erfolgreich für wen und woran gemessen?</w:t>
      </w:r>
    </w:p>
    <w:p>
      <w:pPr>
        <w:keepNext/>
        <w:spacing w:after="100" w:before="200"/>
      </w:pPr>
      <w:r>
        <w:rPr>
          <w:rFonts w:ascii="Cambria" w:cs="Cambria" w:eastAsia="Cambria" w:hAnsi="Cambria"/>
          <w:b/>
          <w:bCs/>
          <w:color w:val="AD4426"/>
          <w:sz w:val="24"/>
          <w:szCs w:val="24"/>
        </w:rPr>
        <w:t xml:space="preserve">Erwartungshorizont M3 (Beispiele)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4ECDE" w:color="auto" w:val="clear"/>
            <w:tcMar>
              <w:top w:type="dxa" w:w="140"/>
              <w:left w:type="dxa" w:w="110"/>
              <w:bottom w:type="dxa" w:w="140"/>
              <w:right w:type="dxa" w:w="110"/>
            </w:tcMar>
          </w:tcPr>
          <w:p>
            <w:pPr>
              <w:spacing w:after="100" w:before="0"/>
            </w:pPr>
            <w:r>
              <w:rPr>
                <w:b/>
                <w:bCs/>
                <w:sz w:val="19"/>
                <w:szCs w:val="19"/>
              </w:rPr>
              <w:t xml:space="preserve">Sachurteil:</w:t>
            </w:r>
            <w:r>
              <w:rPr>
                <w:sz w:val="19"/>
                <w:szCs w:val="19"/>
              </w:rPr>
              <w:t xml:space="preserve"> Im Kontext der damaligen Zeit war die Kolonisation für die griechischen Poleis eine sinnvolle Lösung, da das gebirgige Festland wenig fruchtbares Ackerland bot und die Bevölkerung wuchs. Durch neue Siedlungen konnten Land gewonnen, Handelswege gesichert und Spannungen in der Heimat verringert werden. Aus Sicht der Einheimischen bedeutete sie dagegen oft Verlust von Land.</w:t>
            </w:r>
          </w:p>
          <w:p>
            <w:pPr>
              <w:spacing w:after="0" w:before="0"/>
            </w:pPr>
            <w:r>
              <w:rPr>
                <w:b/>
                <w:bCs/>
                <w:sz w:val="19"/>
                <w:szCs w:val="19"/>
              </w:rPr>
              <w:t xml:space="preserve">Werturteil:</w:t>
            </w:r>
            <w:r>
              <w:rPr>
                <w:sz w:val="19"/>
                <w:szCs w:val="19"/>
              </w:rPr>
              <w:t xml:space="preserve"> Gemessen am heutigen Grundsatz, dass alle Völker ein Recht auf ihr Land und auf Selbstbestimmung haben, halte ich die Kolonisation für problematisch, weil einheimische Bevölkerungen teilweise verdrängt wurden. Positiv bewerte ich den kulturellen Austausch und den Handel, die dabei entstanden.</w:t>
            </w:r>
          </w:p>
        </w:tc>
      </w:tr>
    </w:tbl>
    <w:p>
      <w:pPr>
        <w:spacing w:after="100" w:before="100"/>
      </w:pPr>
      <w:r>
        <w:rPr>
          <w:color w:val="5A5044"/>
          <w:sz w:val="19"/>
          <w:szCs w:val="19"/>
        </w:rPr>
        <w:t xml:space="preserve">Differenzierte Werturteile, die mehrere Aspekte abwägen, sind besonders gelungen. Ein Sachurteil, das mit heutigen Werten argumentiert, ist ein typischer Fehler und sollte im Feedback markiert werden.</w:t>
      </w:r>
    </w:p>
    <w:sectPr>
      <w:headerReference w:type="default" r:id="rId8"/>
      <w:pgSz w:w="11906" w:h="16838" w:orient="portrait"/>
      <w:pgMar w:top="1000" w:right="1134"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8C77"/>
        <w:sz w:val="16"/>
        <w:szCs w:val="16"/>
      </w:rPr>
      <w:t xml:space="preserve">Geschichte · Klasse 11 · Die griechische Welt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8C77"/>
        <w:sz w:val="16"/>
        <w:szCs w:val="16"/>
      </w:rPr>
      <w:t xml:space="preserve">Geschichte · Klasse 11 · Die griechische Welt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31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2026-09-25T17:24:28.155Z</dcterms:created>
  <dcterms:modified xsi:type="dcterms:W3CDTF">2026-09-25T17:24:28.155Z</dcterms:modified>
</cp:coreProperties>
</file>

<file path=docProps/custom.xml><?xml version="1.0" encoding="utf-8"?>
<Properties xmlns="http://schemas.openxmlformats.org/officeDocument/2006/custom-properties" xmlns:vt="http://schemas.openxmlformats.org/officeDocument/2006/docPropsVTypes"/>
</file>