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pPr>
      <w:r>
        <w:rPr>
          <w:rFonts w:ascii="Calibri" w:cs="Calibri" w:eastAsia="Calibri" w:hAnsi="Calibri"/>
          <w:b/>
          <w:bCs/>
          <w:color w:val="AD4426"/>
          <w:sz w:val="16"/>
          <w:szCs w:val="16"/>
        </w:rPr>
        <w:t xml:space="preserve">HANDREICHUNG · GESCHICHTE KLASSE 11 · DOPPELSTUNDE (90 MIN.)</w:t>
      </w:r>
    </w:p>
    <w:p>
      <w:pPr>
        <w:spacing w:after="140"/>
      </w:pPr>
      <w:r>
        <w:rPr>
          <w:rFonts w:ascii="Cambria" w:cs="Cambria" w:eastAsia="Cambria" w:hAnsi="Cambria"/>
          <w:b/>
          <w:bCs/>
          <w:sz w:val="34"/>
          <w:szCs w:val="34"/>
        </w:rPr>
        <w:t xml:space="preserve">Test und Quellenanalyse: Aristoteles über Kleisthenes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ECDE" w:color="auto" w:val="clear"/>
            <w:tcMar>
              <w:top w:type="dxa" w:w="110"/>
              <w:left w:type="dxa" w:w="170"/>
              <w:bottom w:type="dxa" w:w="110"/>
              <w:right w:type="dxa" w:w="170"/>
            </w:tcMar>
          </w:tcPr>
          <w:p>
            <w:pPr>
              <w:spacing w:after="70" w:before="0"/>
            </w:pPr>
            <w:r>
              <w:rPr>
                <w:rFonts w:ascii="Calibri" w:cs="Calibri" w:eastAsia="Calibri" w:hAnsi="Calibri"/>
                <w:b/>
                <w:bCs/>
                <w:color w:val="2B2318"/>
                <w:sz w:val="19"/>
                <w:szCs w:val="19"/>
              </w:rPr>
              <w:t xml:space="preserve">Ziel (Ich kann …):</w:t>
            </w:r>
            <w:r>
              <w:rPr>
                <w:rFonts w:ascii="Calibri" w:cs="Calibri" w:eastAsia="Calibri" w:hAnsi="Calibri"/>
                <w:color w:val="2B2318"/>
                <w:sz w:val="19"/>
                <w:szCs w:val="19"/>
              </w:rPr>
              <w:t xml:space="preserve"> Ich kann eine Textquelle mit dem Schreibplan analysieren: Einleitung schreiben und Inhalt wiedergeben.</w:t>
            </w:r>
          </w:p>
          <w:p>
            <w:pPr>
              <w:spacing w:after="70" w:before="0"/>
            </w:pPr>
            <w:r>
              <w:rPr>
                <w:rFonts w:ascii="Calibri" w:cs="Calibri" w:eastAsia="Calibri" w:hAnsi="Calibri"/>
                <w:b/>
                <w:bCs/>
                <w:color w:val="2B2318"/>
                <w:sz w:val="19"/>
                <w:szCs w:val="19"/>
              </w:rPr>
              <w:t xml:space="preserve">Prüfaufgabe:</w:t>
            </w:r>
            <w:r>
              <w:rPr>
                <w:rFonts w:ascii="Calibri" w:cs="Calibri" w:eastAsia="Calibri" w:hAnsi="Calibri"/>
                <w:color w:val="2B2318"/>
                <w:sz w:val="19"/>
                <w:szCs w:val="19"/>
              </w:rPr>
              <w:t xml:space="preserve"> Abschlussaufgabe – in einem fehlerhaften Klausur-Anfang drei Fehler erkennen und begründen („Ich rate dir …, weil …“). Erfüllt, wenn mindestens zwei Ratschläge Einleitung (Autor nicht dabei, Angaben fehlen) und Inhaltswiedergabe (indirekte Rede, Zeilen, keine Meinung) treffen.</w:t>
            </w:r>
          </w:p>
          <w:p>
            <w:pPr>
              <w:spacing w:after="70" w:before="0"/>
            </w:pPr>
            <w:r>
              <w:rPr>
                <w:rFonts w:ascii="Calibri" w:cs="Calibri" w:eastAsia="Calibri" w:hAnsi="Calibri"/>
                <w:b/>
                <w:bCs/>
                <w:color w:val="2B2318"/>
                <w:sz w:val="19"/>
                <w:szCs w:val="19"/>
              </w:rPr>
              <w:t xml:space="preserve">Mindestziel:</w:t>
            </w:r>
            <w:r>
              <w:rPr>
                <w:rFonts w:ascii="Calibri" w:cs="Calibri" w:eastAsia="Calibri" w:hAnsi="Calibri"/>
                <w:color w:val="2B2318"/>
                <w:sz w:val="19"/>
                <w:szCs w:val="19"/>
              </w:rPr>
              <w:t xml:space="preserve"> Schritt 1 (Einleitung) und Schritt 2 (Inhalt) am Aristoteles-Text. Mit *: Schritte 3 und 4.</w:t>
            </w:r>
          </w:p>
          <w:p>
            <w:pPr>
              <w:spacing w:after="0" w:before="0"/>
            </w:pPr>
            <w:r>
              <w:rPr>
                <w:rFonts w:ascii="Calibri" w:cs="Calibri" w:eastAsia="Calibri" w:hAnsi="Calibri"/>
                <w:b/>
                <w:bCs/>
                <w:color w:val="2B2318"/>
                <w:sz w:val="19"/>
                <w:szCs w:val="19"/>
              </w:rPr>
              <w:t xml:space="preserve">Beitrag zur Reihe:</w:t>
            </w:r>
            <w:r>
              <w:rPr>
                <w:rFonts w:ascii="Calibri" w:cs="Calibri" w:eastAsia="Calibri" w:hAnsi="Calibri"/>
                <w:color w:val="2B2318"/>
                <w:sz w:val="19"/>
                <w:szCs w:val="19"/>
              </w:rPr>
              <w:t xml:space="preserve"> Die Doppelstunde ist die Methodenstunde zu Montag (Kleisthenes): kein neuer Stoff, sondern derselbe Inhalt aus einer Quelle. Der Schreibplan ist die Vorlage für die Analyseaufgabe in der Klausur am 25.11.</w:t>
            </w:r>
          </w:p>
        </w:tc>
      </w:tr>
    </w:tbl>
    <w:p>
      <w:pPr>
        <w:spacing w:after="70" w:before="100"/>
      </w:pPr>
      <w:r>
        <w:rPr>
          <w:rFonts w:ascii="Calibri" w:cs="Calibri" w:eastAsia="Calibri" w:hAnsi="Calibri"/>
          <w:b/>
          <w:bCs/>
          <w:color w:val="2B2318"/>
          <w:sz w:val="19"/>
          <w:szCs w:val="19"/>
        </w:rPr>
        <w:t xml:space="preserve">Bezug zur letzten Stunde:</w:t>
      </w:r>
      <w:r>
        <w:rPr>
          <w:rFonts w:ascii="Calibri" w:cs="Calibri" w:eastAsia="Calibri" w:hAnsi="Calibri"/>
          <w:color w:val="2B2318"/>
          <w:sz w:val="19"/>
          <w:szCs w:val="19"/>
        </w:rPr>
        <w:t xml:space="preserve"> Am Montag wurde die Phylenreform als Mystery erarbeitet. Heute wird derselbe Inhalt in einer Quelle wiedererkannt – das entlastet das Lesen, die Klasse kann sich auf die Methode konzentrieren. Die Zeit ist knapp geplant, deshalb sind die Schritte 3 und 4 mit * markiert; der Abschluss bleibt geschützt (Rückmeldung Peisistratos). Die Lösungen werden vom Platz vorgelesen, nicht an der Tafel erarbeitet.</w:t>
      </w:r>
    </w:p>
    <w:p>
      <w:pPr>
        <w:spacing w:after="70" w:before="0"/>
      </w:pPr>
      <w:r>
        <w:rPr>
          <w:rFonts w:ascii="Calibri" w:cs="Calibri" w:eastAsia="Calibri" w:hAnsi="Calibri"/>
          <w:b/>
          <w:bCs/>
          <w:color w:val="5A5044"/>
          <w:sz w:val="19"/>
          <w:szCs w:val="19"/>
        </w:rPr>
        <w:t xml:space="preserve">Hinweis:</w:t>
      </w:r>
      <w:r>
        <w:rPr>
          <w:rFonts w:ascii="Calibri" w:cs="Calibri" w:eastAsia="Calibri" w:hAnsi="Calibri"/>
          <w:color w:val="5A5044"/>
          <w:sz w:val="19"/>
          <w:szCs w:val="19"/>
        </w:rPr>
        <w:t xml:space="preserve"> Das hochgeladene Material zur Quellenanalyse lag nicht vor. Der Schreibplan folgt deshalb dem üblichen Vierschritt (Einleitung – Inhalt – Einordnen – Urteilen). Wenn die Fachschaft ein eigenes Schema oder eigene Operatoren nutzt, Folien 6–7 und Seite 2 des Blatts daran anpassen.</w:t>
      </w:r>
    </w:p>
    <w:p>
      <w:pPr>
        <w:keepNext/>
        <w:spacing w:after="90" w:before="200"/>
      </w:pPr>
      <w:r>
        <w:rPr>
          <w:rFonts w:ascii="Cambria" w:cs="Cambria" w:eastAsia="Cambria" w:hAnsi="Cambria"/>
          <w:b/>
          <w:bCs/>
          <w:color w:val="AD4426"/>
          <w:sz w:val="25"/>
          <w:szCs w:val="25"/>
        </w:rPr>
        <w:t xml:space="preserve">Druckliste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2400"/>
        <w:gridCol w:w="2038"/>
      </w:tblGrid>
      <w:tr>
        <w:trPr>
          <w:tblHeader/>
        </w:trPr>
        <w:tc>
          <w:tcPr>
            <w:tcW w:type="dxa" w:w="5200"/>
            <w:tcBorders>
              <w:top w:val="single" w:color="BFB5A5" w:sz="4"/>
              <w:left w:val="single" w:color="BFB5A5" w:sz="4"/>
              <w:bottom w:val="single" w:color="BFB5A5" w:sz="4"/>
              <w:right w:val="single" w:color="BFB5A5" w:sz="4"/>
            </w:tcBorders>
            <w:shd w:fill="2B2318" w:color="auto" w:val="clear"/>
            <w:tcMar>
              <w:top w:type="dxa" w:w="50"/>
              <w:left w:type="dxa" w:w="90"/>
              <w:bottom w:type="dxa" w:w="50"/>
              <w:right w:type="dxa" w:w="90"/>
            </w:tcMar>
          </w:tcPr>
          <w:p>
            <w:pPr>
              <w:spacing w:after="20" w:before="0"/>
            </w:pPr>
            <w:r>
              <w:rPr>
                <w:rFonts w:ascii="Calibri" w:cs="Calibri" w:eastAsia="Calibri" w:hAnsi="Calibri"/>
                <w:b/>
                <w:bCs/>
                <w:color w:val="FFFFFF"/>
                <w:sz w:val="18"/>
                <w:szCs w:val="18"/>
              </w:rPr>
              <w:t xml:space="preserve">Material</w:t>
            </w:r>
          </w:p>
        </w:tc>
        <w:tc>
          <w:tcPr>
            <w:tcW w:type="dxa" w:w="2400"/>
            <w:tcBorders>
              <w:top w:val="single" w:color="BFB5A5" w:sz="4"/>
              <w:left w:val="single" w:color="BFB5A5" w:sz="4"/>
              <w:bottom w:val="single" w:color="BFB5A5" w:sz="4"/>
              <w:right w:val="single" w:color="BFB5A5" w:sz="4"/>
            </w:tcBorders>
            <w:shd w:fill="2B2318" w:color="auto" w:val="clear"/>
            <w:tcMar>
              <w:top w:type="dxa" w:w="50"/>
              <w:left w:type="dxa" w:w="90"/>
              <w:bottom w:type="dxa" w:w="50"/>
              <w:right w:type="dxa" w:w="90"/>
            </w:tcMar>
          </w:tcPr>
          <w:p>
            <w:pPr>
              <w:spacing w:after="20" w:before="0"/>
            </w:pPr>
            <w:r>
              <w:rPr>
                <w:rFonts w:ascii="Calibri" w:cs="Calibri" w:eastAsia="Calibri" w:hAnsi="Calibri"/>
                <w:b/>
                <w:bCs/>
                <w:color w:val="FFFFFF"/>
                <w:sz w:val="18"/>
                <w:szCs w:val="18"/>
              </w:rPr>
              <w:t xml:space="preserve">Format</w:t>
            </w:r>
          </w:p>
        </w:tc>
        <w:tc>
          <w:tcPr>
            <w:tcW w:type="dxa" w:w="2038"/>
            <w:tcBorders>
              <w:top w:val="single" w:color="BFB5A5" w:sz="4"/>
              <w:left w:val="single" w:color="BFB5A5" w:sz="4"/>
              <w:bottom w:val="single" w:color="BFB5A5" w:sz="4"/>
              <w:right w:val="single" w:color="BFB5A5" w:sz="4"/>
            </w:tcBorders>
            <w:shd w:fill="2B2318" w:color="auto" w:val="clear"/>
            <w:tcMar>
              <w:top w:type="dxa" w:w="50"/>
              <w:left w:type="dxa" w:w="90"/>
              <w:bottom w:type="dxa" w:w="50"/>
              <w:right w:type="dxa" w:w="90"/>
            </w:tcMar>
          </w:tcPr>
          <w:p>
            <w:pPr>
              <w:spacing w:after="20" w:before="0"/>
            </w:pPr>
            <w:r>
              <w:rPr>
                <w:rFonts w:ascii="Calibri" w:cs="Calibri" w:eastAsia="Calibri" w:hAnsi="Calibri"/>
                <w:b/>
                <w:bCs/>
                <w:color w:val="FFFFFF"/>
                <w:sz w:val="18"/>
                <w:szCs w:val="18"/>
              </w:rPr>
              <w:t xml:space="preserve">Menge</w:t>
            </w:r>
          </w:p>
        </w:tc>
      </w:tr>
      <w:tr>
        <w:trPr>
          <w:cantSplit/>
        </w:trPr>
        <w:tc>
          <w:tcPr>
            <w:tcW w:type="dxa" w:w="52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8"/>
                <w:szCs w:val="18"/>
              </w:rPr>
              <w:t xml:space="preserve">Test_Athen_bis_Peisistratos</w:t>
            </w:r>
          </w:p>
        </w:tc>
        <w:tc>
          <w:tcPr>
            <w:tcW w:type="dxa" w:w="24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8"/>
                <w:szCs w:val="18"/>
              </w:rPr>
              <w:t xml:space="preserve">A4 doppelseitig</w:t>
            </w:r>
          </w:p>
        </w:tc>
        <w:tc>
          <w:tcPr>
            <w:tcW w:type="dxa" w:w="2038"/>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8"/>
                <w:szCs w:val="18"/>
              </w:rPr>
              <w:t xml:space="preserve">1 je Schüler</w:t>
            </w:r>
          </w:p>
        </w:tc>
      </w:tr>
      <w:tr>
        <w:trPr>
          <w:cantSplit/>
        </w:trPr>
        <w:tc>
          <w:tcPr>
            <w:tcW w:type="dxa" w:w="52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8"/>
                <w:szCs w:val="18"/>
              </w:rPr>
              <w:t xml:space="preserve">Quelle_und_Schreibplan</w:t>
            </w:r>
          </w:p>
        </w:tc>
        <w:tc>
          <w:tcPr>
            <w:tcW w:type="dxa" w:w="24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8"/>
                <w:szCs w:val="18"/>
              </w:rPr>
              <w:t xml:space="preserve">A4 doppelseitig</w:t>
            </w:r>
          </w:p>
        </w:tc>
        <w:tc>
          <w:tcPr>
            <w:tcW w:type="dxa" w:w="2038"/>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8"/>
                <w:szCs w:val="18"/>
              </w:rPr>
              <w:t xml:space="preserve">1 je Schüler</w:t>
            </w:r>
          </w:p>
        </w:tc>
      </w:tr>
      <w:tr>
        <w:trPr>
          <w:cantSplit/>
        </w:trPr>
        <w:tc>
          <w:tcPr>
            <w:tcW w:type="dxa" w:w="52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8"/>
                <w:szCs w:val="18"/>
              </w:rPr>
              <w:t xml:space="preserve">Test_Erwartungshorizont_Notenschluessel</w:t>
            </w:r>
          </w:p>
        </w:tc>
        <w:tc>
          <w:tcPr>
            <w:tcW w:type="dxa" w:w="24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8"/>
                <w:szCs w:val="18"/>
              </w:rPr>
              <w:t xml:space="preserve">A4</w:t>
            </w:r>
          </w:p>
        </w:tc>
        <w:tc>
          <w:tcPr>
            <w:tcW w:type="dxa" w:w="2038"/>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8"/>
                <w:szCs w:val="18"/>
              </w:rPr>
              <w:t xml:space="preserve">nur Lehrkraft</w:t>
            </w:r>
          </w:p>
        </w:tc>
      </w:tr>
      <w:tr>
        <w:trPr>
          <w:cantSplit/>
        </w:trPr>
        <w:tc>
          <w:tcPr>
            <w:tcW w:type="dxa" w:w="52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8"/>
                <w:szCs w:val="18"/>
              </w:rPr>
              <w:t xml:space="preserve">Folien_Quellenanalyse (26 Folien, Teil 1 = Folie 1)</w:t>
            </w:r>
          </w:p>
        </w:tc>
        <w:tc>
          <w:tcPr>
            <w:tcW w:type="dxa" w:w="24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8"/>
                <w:szCs w:val="18"/>
              </w:rPr>
              <w:t xml:space="preserve">Beamer</w:t>
            </w:r>
          </w:p>
        </w:tc>
        <w:tc>
          <w:tcPr>
            <w:tcW w:type="dxa" w:w="2038"/>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8"/>
                <w:szCs w:val="18"/>
              </w:rPr>
              <w:t xml:space="preserve">–</w:t>
            </w:r>
          </w:p>
        </w:tc>
      </w:tr>
    </w:tbl>
    <w:p>
      <w:pPr>
        <w:keepNext/>
        <w:spacing w:after="90" w:before="200"/>
      </w:pPr>
      <w:r>
        <w:rPr>
          <w:rFonts w:ascii="Cambria" w:cs="Cambria" w:eastAsia="Cambria" w:hAnsi="Cambria"/>
          <w:b/>
          <w:bCs/>
          <w:color w:val="AD4426"/>
          <w:sz w:val="25"/>
          <w:szCs w:val="25"/>
        </w:rPr>
        <w:t xml:space="preserve">Teil 1: Test (45 Min.)</w:t>
      </w:r>
    </w:p>
    <w:p>
      <w:pPr>
        <w:spacing w:after="40" w:before="0"/>
      </w:pPr>
      <w:r>
        <w:rPr>
          <w:rFonts w:ascii="Calibri" w:cs="Calibri" w:eastAsia="Calibri" w:hAnsi="Calibri"/>
          <w:color w:val="2B2318"/>
          <w:sz w:val="19"/>
          <w:szCs w:val="19"/>
        </w:rPr>
        <w:t xml:space="preserve">–  Folie 1 zeigen. Tische auseinander, Test verdeckt austeilen, gemeinsam beginnen. Endzeit an die Tafel, 5 Minuten vor Schluss ansagen.</w:t>
      </w:r>
    </w:p>
    <w:p>
      <w:pPr>
        <w:spacing w:after="40" w:before="0"/>
      </w:pPr>
      <w:r>
        <w:rPr>
          <w:rFonts w:ascii="Calibri" w:cs="Calibri" w:eastAsia="Calibri" w:hAnsi="Calibri"/>
          <w:color w:val="2B2318"/>
          <w:sz w:val="19"/>
          <w:szCs w:val="19"/>
        </w:rPr>
        <w:t xml:space="preserve">–  37 Punkte + 1 Zusatzpunkt; Erwartungshorizont und Notenschlüssel (Notenpunkte) im eigenen Dokument.</w:t>
      </w:r>
    </w:p>
    <w:p>
      <w:pPr>
        <w:spacing w:after="40" w:before="0"/>
      </w:pPr>
      <w:r>
        <w:rPr>
          <w:rFonts w:ascii="Calibri" w:cs="Calibri" w:eastAsia="Calibri" w:hAnsi="Calibri"/>
          <w:color w:val="2B2318"/>
          <w:sz w:val="19"/>
          <w:szCs w:val="19"/>
        </w:rPr>
        <w:t xml:space="preserve">–  Wer früher fertig ist, dreht das Blatt um und bleibt sitzen; nach dem Einsammeln direkt Blatt „Quelle und Schreibplan“ austeilen.</w:t>
      </w:r>
    </w:p>
    <w:p>
      <w:pPr>
        <w:keepNext/>
        <w:spacing w:after="90" w:before="200"/>
      </w:pPr>
      <w:r>
        <w:rPr>
          <w:rFonts w:ascii="Cambria" w:cs="Cambria" w:eastAsia="Cambria" w:hAnsi="Cambria"/>
          <w:b/>
          <w:bCs/>
          <w:color w:val="AD4426"/>
          <w:sz w:val="25"/>
          <w:szCs w:val="25"/>
        </w:rPr>
        <w:t xml:space="preserve">Begriffs-Check Teil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5A5" w:sz="4"/>
              <w:left w:val="single" w:color="BFB5A5" w:sz="4"/>
              <w:bottom w:val="single" w:color="BFB5A5" w:sz="4"/>
              <w:right w:val="single" w:color="BFB5A5" w:sz="4"/>
            </w:tcBorders>
            <w:shd w:fill="2B2318" w:color="auto" w:val="clear"/>
            <w:tcMar>
              <w:top w:type="dxa" w:w="50"/>
              <w:left w:type="dxa" w:w="90"/>
              <w:bottom w:type="dxa" w:w="50"/>
              <w:right w:type="dxa" w:w="90"/>
            </w:tcMar>
          </w:tcPr>
          <w:p>
            <w:pPr>
              <w:spacing w:after="20" w:before="0"/>
            </w:pPr>
            <w:r>
              <w:rPr>
                <w:rFonts w:ascii="Calibri" w:cs="Calibri" w:eastAsia="Calibri" w:hAnsi="Calibri"/>
                <w:b/>
                <w:bCs/>
                <w:color w:val="FFFFFF"/>
                <w:sz w:val="18"/>
                <w:szCs w:val="18"/>
              </w:rPr>
              <w:t xml:space="preserve">Begriff</w:t>
            </w:r>
          </w:p>
        </w:tc>
        <w:tc>
          <w:tcPr>
            <w:tcW w:type="dxa" w:w="6638"/>
            <w:tcBorders>
              <w:top w:val="single" w:color="BFB5A5" w:sz="4"/>
              <w:left w:val="single" w:color="BFB5A5" w:sz="4"/>
              <w:bottom w:val="single" w:color="BFB5A5" w:sz="4"/>
              <w:right w:val="single" w:color="BFB5A5" w:sz="4"/>
            </w:tcBorders>
            <w:shd w:fill="2B2318" w:color="auto" w:val="clear"/>
            <w:tcMar>
              <w:top w:type="dxa" w:w="50"/>
              <w:left w:type="dxa" w:w="90"/>
              <w:bottom w:type="dxa" w:w="50"/>
              <w:right w:type="dxa" w:w="90"/>
            </w:tcMar>
          </w:tcPr>
          <w:p>
            <w:pPr>
              <w:spacing w:after="20" w:before="0"/>
            </w:pPr>
            <w:r>
              <w:rPr>
                <w:rFonts w:ascii="Calibri" w:cs="Calibri" w:eastAsia="Calibri" w:hAnsi="Calibri"/>
                <w:b/>
                <w:bCs/>
                <w:color w:val="FFFFFF"/>
                <w:sz w:val="18"/>
                <w:szCs w:val="18"/>
              </w:rPr>
              <w:t xml:space="preserve">Status</w:t>
            </w:r>
          </w:p>
        </w:tc>
      </w:tr>
      <w:tr>
        <w:trPr>
          <w:cantSplit/>
        </w:trPr>
        <w:tc>
          <w:tcPr>
            <w:tcW w:type="dxa" w:w="30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8"/>
                <w:szCs w:val="18"/>
              </w:rPr>
              <w:t xml:space="preserve">Quelle / Darstellung</w:t>
            </w:r>
          </w:p>
        </w:tc>
        <w:tc>
          <w:tcPr>
            <w:tcW w:type="dxa" w:w="6638"/>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8"/>
                <w:szCs w:val="18"/>
              </w:rPr>
              <w:t xml:space="preserve">aus der Sek. I bekannt – in der Wiederholung (Folie 4) aktiviert</w:t>
            </w:r>
          </w:p>
        </w:tc>
      </w:tr>
      <w:tr>
        <w:trPr>
          <w:cantSplit/>
        </w:trPr>
        <w:tc>
          <w:tcPr>
            <w:tcW w:type="dxa" w:w="30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8"/>
                <w:szCs w:val="18"/>
              </w:rPr>
              <w:t xml:space="preserve">Phyle, Demos, Trittys</w:t>
            </w:r>
          </w:p>
        </w:tc>
        <w:tc>
          <w:tcPr>
            <w:tcW w:type="dxa" w:w="6638"/>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8"/>
                <w:szCs w:val="18"/>
              </w:rPr>
              <w:t xml:space="preserve">Montag gesichert</w:t>
            </w:r>
          </w:p>
        </w:tc>
      </w:tr>
      <w:tr>
        <w:trPr>
          <w:cantSplit/>
        </w:trPr>
        <w:tc>
          <w:tcPr>
            <w:tcW w:type="dxa" w:w="30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8"/>
                <w:szCs w:val="18"/>
              </w:rPr>
              <w:t xml:space="preserve">Sinnabschnitt, indirekte Rede</w:t>
            </w:r>
          </w:p>
        </w:tc>
        <w:tc>
          <w:tcPr>
            <w:tcW w:type="dxa" w:w="6638"/>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8"/>
                <w:szCs w:val="18"/>
              </w:rPr>
              <w:t xml:space="preserve">aus Deutsch bekannt – Prüffrage auf Folie 14</w:t>
            </w:r>
          </w:p>
        </w:tc>
      </w:tr>
      <w:tr>
        <w:trPr>
          <w:cantSplit/>
        </w:trPr>
        <w:tc>
          <w:tcPr>
            <w:tcW w:type="dxa" w:w="30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8"/>
                <w:szCs w:val="18"/>
              </w:rPr>
              <w:t xml:space="preserve">Alkmeoniden, Isagoras, Bünde der Adligen</w:t>
            </w:r>
          </w:p>
        </w:tc>
        <w:tc>
          <w:tcPr>
            <w:tcW w:type="dxa" w:w="6638"/>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b/>
                <w:bCs/>
                <w:color w:val="2B2318"/>
                <w:sz w:val="18"/>
                <w:szCs w:val="18"/>
              </w:rPr>
              <w:t xml:space="preserve">neu</w:t>
            </w:r>
            <w:r>
              <w:rPr>
                <w:rFonts w:ascii="Calibri" w:cs="Calibri" w:eastAsia="Calibri" w:hAnsi="Calibri"/>
                <w:color w:val="2B2318"/>
                <w:sz w:val="18"/>
                <w:szCs w:val="18"/>
              </w:rPr>
              <w:t xml:space="preserve">, aber nur Randinformation – Worterklärung unter der Quelle</w:t>
            </w:r>
          </w:p>
        </w:tc>
      </w:tr>
    </w:tbl>
    <w:p>
      <w:pPr>
        <w:keepNext/>
        <w:spacing w:after="90" w:before="200"/>
      </w:pPr>
      <w:r>
        <w:rPr>
          <w:rFonts w:ascii="Cambria" w:cs="Cambria" w:eastAsia="Cambria" w:hAnsi="Cambria"/>
          <w:b/>
          <w:bCs/>
          <w:color w:val="AD4426"/>
          <w:sz w:val="25"/>
          <w:szCs w:val="25"/>
        </w:rPr>
        <w:t xml:space="preserve">Verlauf Teil 2 (45 Min.) nach AVIVA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400"/>
        <w:gridCol w:w="2338"/>
        <w:gridCol w:w="1000"/>
        <w:gridCol w:w="700"/>
      </w:tblGrid>
      <w:tr>
        <w:trPr>
          <w:tblHeader/>
        </w:trPr>
        <w:tc>
          <w:tcPr>
            <w:tcW w:type="dxa" w:w="700"/>
            <w:tcBorders>
              <w:top w:val="single" w:color="BFB5A5" w:sz="4"/>
              <w:left w:val="single" w:color="BFB5A5" w:sz="4"/>
              <w:bottom w:val="single" w:color="BFB5A5" w:sz="4"/>
              <w:right w:val="single" w:color="BFB5A5" w:sz="4"/>
            </w:tcBorders>
            <w:shd w:fill="2B2318" w:color="auto" w:val="clear"/>
            <w:tcMar>
              <w:top w:type="dxa" w:w="50"/>
              <w:left w:type="dxa" w:w="90"/>
              <w:bottom w:type="dxa" w:w="50"/>
              <w:right w:type="dxa" w:w="90"/>
            </w:tcMar>
          </w:tcPr>
          <w:p>
            <w:pPr>
              <w:spacing w:after="20" w:before="0"/>
            </w:pPr>
            <w:r>
              <w:rPr>
                <w:rFonts w:ascii="Calibri" w:cs="Calibri" w:eastAsia="Calibri" w:hAnsi="Calibri"/>
                <w:b/>
                <w:bCs/>
                <w:color w:val="FFFFFF"/>
                <w:sz w:val="16"/>
                <w:szCs w:val="16"/>
              </w:rPr>
              <w:t xml:space="preserve">Min.</w:t>
            </w:r>
          </w:p>
        </w:tc>
        <w:tc>
          <w:tcPr>
            <w:tcW w:type="dxa" w:w="1500"/>
            <w:tcBorders>
              <w:top w:val="single" w:color="BFB5A5" w:sz="4"/>
              <w:left w:val="single" w:color="BFB5A5" w:sz="4"/>
              <w:bottom w:val="single" w:color="BFB5A5" w:sz="4"/>
              <w:right w:val="single" w:color="BFB5A5" w:sz="4"/>
            </w:tcBorders>
            <w:shd w:fill="2B2318" w:color="auto" w:val="clear"/>
            <w:tcMar>
              <w:top w:type="dxa" w:w="50"/>
              <w:left w:type="dxa" w:w="90"/>
              <w:bottom w:type="dxa" w:w="50"/>
              <w:right w:type="dxa" w:w="90"/>
            </w:tcMar>
          </w:tcPr>
          <w:p>
            <w:pPr>
              <w:spacing w:after="20" w:before="0"/>
            </w:pPr>
            <w:r>
              <w:rPr>
                <w:rFonts w:ascii="Calibri" w:cs="Calibri" w:eastAsia="Calibri" w:hAnsi="Calibri"/>
                <w:b/>
                <w:bCs/>
                <w:color w:val="FFFFFF"/>
                <w:sz w:val="16"/>
                <w:szCs w:val="16"/>
              </w:rPr>
              <w:t xml:space="preserve">Phase</w:t>
            </w:r>
          </w:p>
        </w:tc>
        <w:tc>
          <w:tcPr>
            <w:tcW w:type="dxa" w:w="3400"/>
            <w:tcBorders>
              <w:top w:val="single" w:color="BFB5A5" w:sz="4"/>
              <w:left w:val="single" w:color="BFB5A5" w:sz="4"/>
              <w:bottom w:val="single" w:color="BFB5A5" w:sz="4"/>
              <w:right w:val="single" w:color="BFB5A5" w:sz="4"/>
            </w:tcBorders>
            <w:shd w:fill="2B2318" w:color="auto" w:val="clear"/>
            <w:tcMar>
              <w:top w:type="dxa" w:w="50"/>
              <w:left w:type="dxa" w:w="90"/>
              <w:bottom w:type="dxa" w:w="50"/>
              <w:right w:type="dxa" w:w="90"/>
            </w:tcMar>
          </w:tcPr>
          <w:p>
            <w:pPr>
              <w:spacing w:after="20" w:before="0"/>
            </w:pPr>
            <w:r>
              <w:rPr>
                <w:rFonts w:ascii="Calibri" w:cs="Calibri" w:eastAsia="Calibri" w:hAnsi="Calibri"/>
                <w:b/>
                <w:bCs/>
                <w:color w:val="FFFFFF"/>
                <w:sz w:val="16"/>
                <w:szCs w:val="16"/>
              </w:rPr>
              <w:t xml:space="preserve">Ablauf und Ansage</w:t>
            </w:r>
          </w:p>
        </w:tc>
        <w:tc>
          <w:tcPr>
            <w:tcW w:type="dxa" w:w="2338"/>
            <w:tcBorders>
              <w:top w:val="single" w:color="BFB5A5" w:sz="4"/>
              <w:left w:val="single" w:color="BFB5A5" w:sz="4"/>
              <w:bottom w:val="single" w:color="BFB5A5" w:sz="4"/>
              <w:right w:val="single" w:color="BFB5A5" w:sz="4"/>
            </w:tcBorders>
            <w:shd w:fill="2B2318" w:color="auto" w:val="clear"/>
            <w:tcMar>
              <w:top w:type="dxa" w:w="50"/>
              <w:left w:type="dxa" w:w="90"/>
              <w:bottom w:type="dxa" w:w="50"/>
              <w:right w:type="dxa" w:w="90"/>
            </w:tcMar>
          </w:tcPr>
          <w:p>
            <w:pPr>
              <w:spacing w:after="20" w:before="0"/>
            </w:pPr>
            <w:r>
              <w:rPr>
                <w:rFonts w:ascii="Calibri" w:cs="Calibri" w:eastAsia="Calibri" w:hAnsi="Calibri"/>
                <w:b/>
                <w:bCs/>
                <w:color w:val="FFFFFF"/>
                <w:sz w:val="16"/>
                <w:szCs w:val="16"/>
              </w:rPr>
              <w:t xml:space="preserve">Warum?</w:t>
            </w:r>
          </w:p>
        </w:tc>
        <w:tc>
          <w:tcPr>
            <w:tcW w:type="dxa" w:w="1000"/>
            <w:tcBorders>
              <w:top w:val="single" w:color="BFB5A5" w:sz="4"/>
              <w:left w:val="single" w:color="BFB5A5" w:sz="4"/>
              <w:bottom w:val="single" w:color="BFB5A5" w:sz="4"/>
              <w:right w:val="single" w:color="BFB5A5" w:sz="4"/>
            </w:tcBorders>
            <w:shd w:fill="2B2318" w:color="auto" w:val="clear"/>
            <w:tcMar>
              <w:top w:type="dxa" w:w="50"/>
              <w:left w:type="dxa" w:w="90"/>
              <w:bottom w:type="dxa" w:w="50"/>
              <w:right w:type="dxa" w:w="90"/>
            </w:tcMar>
          </w:tcPr>
          <w:p>
            <w:pPr>
              <w:spacing w:after="20" w:before="0"/>
            </w:pPr>
            <w:r>
              <w:rPr>
                <w:rFonts w:ascii="Calibri" w:cs="Calibri" w:eastAsia="Calibri" w:hAnsi="Calibri"/>
                <w:b/>
                <w:bCs/>
                <w:color w:val="FFFFFF"/>
                <w:sz w:val="16"/>
                <w:szCs w:val="16"/>
              </w:rPr>
              <w:t xml:space="preserve">Form</w:t>
            </w:r>
          </w:p>
        </w:tc>
        <w:tc>
          <w:tcPr>
            <w:tcW w:type="dxa" w:w="700"/>
            <w:tcBorders>
              <w:top w:val="single" w:color="BFB5A5" w:sz="4"/>
              <w:left w:val="single" w:color="BFB5A5" w:sz="4"/>
              <w:bottom w:val="single" w:color="BFB5A5" w:sz="4"/>
              <w:right w:val="single" w:color="BFB5A5" w:sz="4"/>
            </w:tcBorders>
            <w:shd w:fill="2B2318" w:color="auto" w:val="clear"/>
            <w:tcMar>
              <w:top w:type="dxa" w:w="50"/>
              <w:left w:type="dxa" w:w="90"/>
              <w:bottom w:type="dxa" w:w="50"/>
              <w:right w:type="dxa" w:w="90"/>
            </w:tcMar>
          </w:tcPr>
          <w:p>
            <w:pPr>
              <w:spacing w:after="20" w:before="0"/>
            </w:pPr>
            <w:r>
              <w:rPr>
                <w:rFonts w:ascii="Calibri" w:cs="Calibri" w:eastAsia="Calibri" w:hAnsi="Calibri"/>
                <w:b/>
                <w:bCs/>
                <w:color w:val="FFFFFF"/>
                <w:sz w:val="16"/>
                <w:szCs w:val="16"/>
              </w:rPr>
              <w:t xml:space="preserve">Folie</w:t>
            </w:r>
          </w:p>
        </w:tc>
      </w:tr>
      <w:tr>
        <w:trPr>
          <w:cantSplit/>
        </w:trPr>
        <w:tc>
          <w:tcPr>
            <w:tcW w:type="dxa" w:w="7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0–2</w:t>
            </w:r>
          </w:p>
        </w:tc>
        <w:tc>
          <w:tcPr>
            <w:tcW w:type="dxa" w:w="15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b/>
                <w:bCs/>
                <w:color w:val="2B2318"/>
                <w:sz w:val="16"/>
                <w:szCs w:val="16"/>
              </w:rPr>
              <w:t xml:space="preserve">A</w:t>
            </w:r>
            <w:r>
              <w:rPr>
                <w:rFonts w:ascii="Calibri" w:cs="Calibri" w:eastAsia="Calibri" w:hAnsi="Calibri"/>
                <w:color w:val="2B2318"/>
                <w:sz w:val="16"/>
                <w:szCs w:val="16"/>
              </w:rPr>
              <w:t xml:space="preserve"> Ankommen</w:t>
            </w:r>
          </w:p>
        </w:tc>
        <w:tc>
          <w:tcPr>
            <w:tcW w:type="dxa" w:w="34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Tests einsammeln, Blatt austeilen. Ziel und Ablauf: „Heute lernt ihr, wie man in der Klausur mit einer Quelle umgeht – Schritt für Schritt.“</w:t>
            </w:r>
          </w:p>
        </w:tc>
        <w:tc>
          <w:tcPr>
            <w:tcW w:type="dxa" w:w="2338"/>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Transparenz; Bedeutung für die Klausur (direkt).</w:t>
            </w:r>
          </w:p>
        </w:tc>
        <w:tc>
          <w:tcPr>
            <w:tcW w:type="dxa" w:w="10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Plenum</w:t>
            </w:r>
          </w:p>
        </w:tc>
        <w:tc>
          <w:tcPr>
            <w:tcW w:type="dxa" w:w="7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2–3</w:t>
            </w:r>
          </w:p>
        </w:tc>
      </w:tr>
      <w:tr>
        <w:trPr>
          <w:cantSplit/>
        </w:trPr>
        <w:tc>
          <w:tcPr>
            <w:tcW w:type="dxa" w:w="7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2–7</w:t>
            </w:r>
          </w:p>
        </w:tc>
        <w:tc>
          <w:tcPr>
            <w:tcW w:type="dxa" w:w="15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b/>
                <w:bCs/>
                <w:color w:val="2B2318"/>
                <w:sz w:val="16"/>
                <w:szCs w:val="16"/>
              </w:rPr>
              <w:t xml:space="preserve">V</w:t>
            </w:r>
            <w:r>
              <w:rPr>
                <w:rFonts w:ascii="Calibri" w:cs="Calibri" w:eastAsia="Calibri" w:hAnsi="Calibri"/>
                <w:color w:val="2B2318"/>
                <w:sz w:val="16"/>
                <w:szCs w:val="16"/>
              </w:rPr>
              <w:t xml:space="preserve"> Richtig oder falsch?</w:t>
            </w:r>
          </w:p>
        </w:tc>
        <w:tc>
          <w:tcPr>
            <w:tcW w:type="dxa" w:w="34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Vier Aussagen (Quelle/Darstellung, Kleisthenes): allein ins Heft (2), Partnercheck (1), Stichproben bei 4–6 Schülern (1), Lösung (1).</w:t>
            </w:r>
          </w:p>
        </w:tc>
        <w:tc>
          <w:tcPr>
            <w:tcW w:type="dxa" w:w="2338"/>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Echte Wiederholung von Montag und Begriff „Quelle“ aktivieren, beides braucht die Analyse (direkt).</w:t>
            </w:r>
          </w:p>
        </w:tc>
        <w:tc>
          <w:tcPr>
            <w:tcW w:type="dxa" w:w="10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EA → PA → Stichproben</w:t>
            </w:r>
          </w:p>
        </w:tc>
        <w:tc>
          <w:tcPr>
            <w:tcW w:type="dxa" w:w="7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4–5</w:t>
            </w:r>
          </w:p>
        </w:tc>
      </w:tr>
      <w:tr>
        <w:trPr>
          <w:cantSplit/>
        </w:trPr>
        <w:tc>
          <w:tcPr>
            <w:tcW w:type="dxa" w:w="7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7–8</w:t>
            </w:r>
          </w:p>
        </w:tc>
        <w:tc>
          <w:tcPr>
            <w:tcW w:type="dxa" w:w="15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b/>
                <w:bCs/>
                <w:color w:val="2B2318"/>
                <w:sz w:val="16"/>
                <w:szCs w:val="16"/>
              </w:rPr>
              <w:t xml:space="preserve">I</w:t>
            </w:r>
            <w:r>
              <w:rPr>
                <w:rFonts w:ascii="Calibri" w:cs="Calibri" w:eastAsia="Calibri" w:hAnsi="Calibri"/>
                <w:color w:val="2B2318"/>
                <w:sz w:val="16"/>
                <w:szCs w:val="16"/>
              </w:rPr>
              <w:t xml:space="preserve"> Warum?</w:t>
            </w:r>
          </w:p>
        </w:tc>
        <w:tc>
          <w:tcPr>
            <w:tcW w:type="dxa" w:w="34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„In der Klausur ist die erste Aufgabe meist: Analysiere die Quelle.“</w:t>
            </w:r>
          </w:p>
        </w:tc>
        <w:tc>
          <w:tcPr>
            <w:tcW w:type="dxa" w:w="2338"/>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Bedeutung erklären (DI).</w:t>
            </w:r>
          </w:p>
        </w:tc>
        <w:tc>
          <w:tcPr>
            <w:tcW w:type="dxa" w:w="10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Lehrkraft</w:t>
            </w:r>
          </w:p>
        </w:tc>
        <w:tc>
          <w:tcPr>
            <w:tcW w:type="dxa" w:w="7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6</w:t>
            </w:r>
          </w:p>
        </w:tc>
      </w:tr>
      <w:tr>
        <w:trPr>
          <w:cantSplit/>
        </w:trPr>
        <w:tc>
          <w:tcPr>
            <w:tcW w:type="dxa" w:w="7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8–10</w:t>
            </w:r>
          </w:p>
        </w:tc>
        <w:tc>
          <w:tcPr>
            <w:tcW w:type="dxa" w:w="15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b/>
                <w:bCs/>
                <w:color w:val="2B2318"/>
                <w:sz w:val="16"/>
                <w:szCs w:val="16"/>
              </w:rPr>
              <w:t xml:space="preserve">I</w:t>
            </w:r>
            <w:r>
              <w:rPr>
                <w:rFonts w:ascii="Calibri" w:cs="Calibri" w:eastAsia="Calibri" w:hAnsi="Calibri"/>
                <w:color w:val="2B2318"/>
                <w:sz w:val="16"/>
                <w:szCs w:val="16"/>
              </w:rPr>
              <w:t xml:space="preserve"> Portion 1</w:t>
            </w:r>
          </w:p>
        </w:tc>
        <w:tc>
          <w:tcPr>
            <w:tcW w:type="dxa" w:w="34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Der Schreibplan in vier Schritten. Warnung: nicht nacherzählen. Prüffragen an 4–6 Schüler.</w:t>
            </w:r>
          </w:p>
        </w:tc>
        <w:tc>
          <w:tcPr>
            <w:tcW w:type="dxa" w:w="2338"/>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Überblick vor den Einzelschritten (direkt, neue Kompetenz).</w:t>
            </w:r>
          </w:p>
        </w:tc>
        <w:tc>
          <w:tcPr>
            <w:tcW w:type="dxa" w:w="10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Lehrkraft, Stichproben</w:t>
            </w:r>
          </w:p>
        </w:tc>
        <w:tc>
          <w:tcPr>
            <w:tcW w:type="dxa" w:w="7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7</w:t>
            </w:r>
          </w:p>
        </w:tc>
      </w:tr>
      <w:tr>
        <w:trPr>
          <w:cantSplit/>
        </w:trPr>
        <w:tc>
          <w:tcPr>
            <w:tcW w:type="dxa" w:w="7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10–13</w:t>
            </w:r>
          </w:p>
        </w:tc>
        <w:tc>
          <w:tcPr>
            <w:tcW w:type="dxa" w:w="15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b/>
                <w:bCs/>
                <w:color w:val="2B2318"/>
                <w:sz w:val="16"/>
                <w:szCs w:val="16"/>
              </w:rPr>
              <w:t xml:space="preserve">I</w:t>
            </w:r>
            <w:r>
              <w:rPr>
                <w:rFonts w:ascii="Calibri" w:cs="Calibri" w:eastAsia="Calibri" w:hAnsi="Calibri"/>
                <w:color w:val="2B2318"/>
                <w:sz w:val="16"/>
                <w:szCs w:val="16"/>
              </w:rPr>
              <w:t xml:space="preserve"> Portion 2 + Modell</w:t>
            </w:r>
          </w:p>
        </w:tc>
        <w:tc>
          <w:tcPr>
            <w:tcW w:type="dxa" w:w="34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Fünf W-Fragen der Einleitung; an Solons Gedicht laut denkend vormachen, Einleitungssatz zeigen. Warnung: Lebensdaten prüfen.</w:t>
            </w:r>
          </w:p>
        </w:tc>
        <w:tc>
          <w:tcPr>
            <w:tcW w:type="dxa" w:w="2338"/>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Modellieren an einer anderen Quelle, damit die Lösung für Aristoteles nicht vorweggenommen wird.</w:t>
            </w:r>
          </w:p>
        </w:tc>
        <w:tc>
          <w:tcPr>
            <w:tcW w:type="dxa" w:w="10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Lehrkraft, Stichproben</w:t>
            </w:r>
          </w:p>
        </w:tc>
        <w:tc>
          <w:tcPr>
            <w:tcW w:type="dxa" w:w="7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8–10</w:t>
            </w:r>
          </w:p>
        </w:tc>
      </w:tr>
      <w:tr>
        <w:trPr>
          <w:cantSplit/>
        </w:trPr>
        <w:tc>
          <w:tcPr>
            <w:tcW w:type="dxa" w:w="7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13–19</w:t>
            </w:r>
          </w:p>
        </w:tc>
        <w:tc>
          <w:tcPr>
            <w:tcW w:type="dxa" w:w="15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b/>
                <w:bCs/>
                <w:color w:val="2B2318"/>
                <w:sz w:val="16"/>
                <w:szCs w:val="16"/>
              </w:rPr>
              <w:t xml:space="preserve">V</w:t>
            </w:r>
            <w:r>
              <w:rPr>
                <w:rFonts w:ascii="Calibri" w:cs="Calibri" w:eastAsia="Calibri" w:hAnsi="Calibri"/>
                <w:color w:val="2B2318"/>
                <w:sz w:val="16"/>
                <w:szCs w:val="16"/>
              </w:rPr>
              <w:t xml:space="preserve"> Einleitung</w:t>
            </w:r>
          </w:p>
        </w:tc>
        <w:tc>
          <w:tcPr>
            <w:tcW w:type="dxa" w:w="34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Allein: fünf Felder ausfüllen, Einleitungssatz (4). Zwei lesen vor, Lösung (2).</w:t>
            </w:r>
          </w:p>
        </w:tc>
        <w:tc>
          <w:tcPr>
            <w:tcW w:type="dxa" w:w="2338"/>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Erste Anwendung: leicht, alle schaffen sie (Infokasten liefert alles).</w:t>
            </w:r>
          </w:p>
        </w:tc>
        <w:tc>
          <w:tcPr>
            <w:tcW w:type="dxa" w:w="10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EA</w:t>
            </w:r>
          </w:p>
        </w:tc>
        <w:tc>
          <w:tcPr>
            <w:tcW w:type="dxa" w:w="7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11–13</w:t>
            </w:r>
          </w:p>
        </w:tc>
      </w:tr>
      <w:tr>
        <w:trPr>
          <w:cantSplit/>
        </w:trPr>
        <w:tc>
          <w:tcPr>
            <w:tcW w:type="dxa" w:w="7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19–23</w:t>
            </w:r>
          </w:p>
        </w:tc>
        <w:tc>
          <w:tcPr>
            <w:tcW w:type="dxa" w:w="15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b/>
                <w:bCs/>
                <w:color w:val="2B2318"/>
                <w:sz w:val="16"/>
                <w:szCs w:val="16"/>
              </w:rPr>
              <w:t xml:space="preserve">I</w:t>
            </w:r>
            <w:r>
              <w:rPr>
                <w:rFonts w:ascii="Calibri" w:cs="Calibri" w:eastAsia="Calibri" w:hAnsi="Calibri"/>
                <w:color w:val="2B2318"/>
                <w:sz w:val="16"/>
                <w:szCs w:val="16"/>
              </w:rPr>
              <w:t xml:space="preserve"> Portion 3 + Modell</w:t>
            </w:r>
          </w:p>
        </w:tc>
        <w:tc>
          <w:tcPr>
            <w:tcW w:type="dxa" w:w="34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Regeln für die Inhaltswiedergabe (Sinnabschnitte, eigene Worte, indirekte Rede, Zeilen). Warnung: keine Meinung. Abschnitt Z. 1–4 laut denkend vormachen.</w:t>
            </w:r>
          </w:p>
        </w:tc>
        <w:tc>
          <w:tcPr>
            <w:tcW w:type="dxa" w:w="2338"/>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Neue Teilkompetenz modellieren; das Beispiel steht im Schreibplan (✓).</w:t>
            </w:r>
          </w:p>
        </w:tc>
        <w:tc>
          <w:tcPr>
            <w:tcW w:type="dxa" w:w="10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Lehrkraft, Stichproben</w:t>
            </w:r>
          </w:p>
        </w:tc>
        <w:tc>
          <w:tcPr>
            <w:tcW w:type="dxa" w:w="7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14–15</w:t>
            </w:r>
          </w:p>
        </w:tc>
      </w:tr>
      <w:tr>
        <w:trPr>
          <w:cantSplit/>
        </w:trPr>
        <w:tc>
          <w:tcPr>
            <w:tcW w:type="dxa" w:w="7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23–36</w:t>
            </w:r>
          </w:p>
        </w:tc>
        <w:tc>
          <w:tcPr>
            <w:tcW w:type="dxa" w:w="15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b/>
                <w:bCs/>
                <w:color w:val="2B2318"/>
                <w:sz w:val="16"/>
                <w:szCs w:val="16"/>
              </w:rPr>
              <w:t xml:space="preserve">V</w:t>
            </w:r>
            <w:r>
              <w:rPr>
                <w:rFonts w:ascii="Calibri" w:cs="Calibri" w:eastAsia="Calibri" w:hAnsi="Calibri"/>
                <w:color w:val="2B2318"/>
                <w:sz w:val="16"/>
                <w:szCs w:val="16"/>
              </w:rPr>
              <w:t xml:space="preserve"> Inhalt</w:t>
            </w:r>
          </w:p>
        </w:tc>
        <w:tc>
          <w:tcPr>
            <w:tcW w:type="dxa" w:w="34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Paare: Z. 5–8 mit Satzanfang und Stichworten, Z. 9–12 mit Satzanfang, Z. 12–14 ohne Hilfe (10). Quelle an der Wand. Je Abschnitt ein Paar vom Platz, Lösung (3).</w:t>
            </w:r>
          </w:p>
        </w:tc>
        <w:tc>
          <w:tcPr>
            <w:tcW w:type="dxa" w:w="2338"/>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Angeleitetes → selbstständiges Üben; Teillösungen nehmen ab (indirekt nach dem Modell).</w:t>
            </w:r>
          </w:p>
        </w:tc>
        <w:tc>
          <w:tcPr>
            <w:tcW w:type="dxa" w:w="10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PA</w:t>
            </w:r>
          </w:p>
        </w:tc>
        <w:tc>
          <w:tcPr>
            <w:tcW w:type="dxa" w:w="7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16–22</w:t>
            </w:r>
          </w:p>
        </w:tc>
      </w:tr>
      <w:tr>
        <w:trPr>
          <w:cantSplit/>
        </w:trPr>
        <w:tc>
          <w:tcPr>
            <w:tcW w:type="dxa" w:w="7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*36–38</w:t>
            </w:r>
          </w:p>
        </w:tc>
        <w:tc>
          <w:tcPr>
            <w:tcW w:type="dxa" w:w="15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b/>
                <w:bCs/>
                <w:color w:val="2B2318"/>
                <w:sz w:val="16"/>
                <w:szCs w:val="16"/>
              </w:rPr>
              <w:t xml:space="preserve">V</w:t>
            </w:r>
            <w:r>
              <w:rPr>
                <w:rFonts w:ascii="Calibri" w:cs="Calibri" w:eastAsia="Calibri" w:hAnsi="Calibri"/>
                <w:color w:val="2B2318"/>
                <w:sz w:val="16"/>
                <w:szCs w:val="16"/>
              </w:rPr>
              <w:t xml:space="preserve"> Schritte 3 und 4*</w:t>
            </w:r>
          </w:p>
        </w:tc>
        <w:tc>
          <w:tcPr>
            <w:tcW w:type="dxa" w:w="34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Nur bei Zeit: Kontext (Sturz der Tyrannis) und Glaubwürdigkeit (180 Jahre später) kurz erklären, zwei Prüffragen.</w:t>
            </w:r>
          </w:p>
        </w:tc>
        <w:tc>
          <w:tcPr>
            <w:tcW w:type="dxa" w:w="2338"/>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Ausblick auf die nächste Doppelstunde; wird dort vertieft.</w:t>
            </w:r>
          </w:p>
        </w:tc>
        <w:tc>
          <w:tcPr>
            <w:tcW w:type="dxa" w:w="10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Lehrkraft</w:t>
            </w:r>
          </w:p>
        </w:tc>
        <w:tc>
          <w:tcPr>
            <w:tcW w:type="dxa" w:w="7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23</w:t>
            </w:r>
          </w:p>
        </w:tc>
      </w:tr>
      <w:tr>
        <w:trPr>
          <w:cantSplit/>
        </w:trPr>
        <w:tc>
          <w:tcPr>
            <w:tcW w:type="dxa" w:w="7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38–45</w:t>
            </w:r>
          </w:p>
        </w:tc>
        <w:tc>
          <w:tcPr>
            <w:tcW w:type="dxa" w:w="15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b/>
                <w:bCs/>
                <w:color w:val="2B2318"/>
                <w:sz w:val="16"/>
                <w:szCs w:val="16"/>
              </w:rPr>
              <w:t xml:space="preserve">A</w:t>
            </w:r>
            <w:r>
              <w:rPr>
                <w:rFonts w:ascii="Calibri" w:cs="Calibri" w:eastAsia="Calibri" w:hAnsi="Calibri"/>
                <w:color w:val="2B2318"/>
                <w:sz w:val="16"/>
                <w:szCs w:val="16"/>
              </w:rPr>
              <w:t xml:space="preserve"> Abschluss</w:t>
            </w:r>
          </w:p>
        </w:tc>
        <w:tc>
          <w:tcPr>
            <w:tcW w:type="dxa" w:w="34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Abschlussaufgabe „Ich rate dir …, weil …“ (4), drei Schüler lesen je einen Ratschlag vor, Lösung (2), Rückbezug aufs Ziel (1).</w:t>
            </w:r>
          </w:p>
        </w:tc>
        <w:tc>
          <w:tcPr>
            <w:tcW w:type="dxa" w:w="2338"/>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Prüft genau das Ziel: Fehler in Einleitung und Inhalt erkennen und begründen. </w:t>
            </w:r>
            <w:r>
              <w:rPr>
                <w:rFonts w:ascii="Calibri" w:cs="Calibri" w:eastAsia="Calibri" w:hAnsi="Calibri"/>
                <w:b/>
                <w:bCs/>
                <w:color w:val="2B2318"/>
                <w:sz w:val="16"/>
                <w:szCs w:val="16"/>
              </w:rPr>
              <w:t xml:space="preserve">Nie kürzen.</w:t>
            </w:r>
          </w:p>
        </w:tc>
        <w:tc>
          <w:tcPr>
            <w:tcW w:type="dxa" w:w="10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EA, Stichproben</w:t>
            </w:r>
          </w:p>
        </w:tc>
        <w:tc>
          <w:tcPr>
            <w:tcW w:type="dxa" w:w="7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6"/>
                <w:szCs w:val="16"/>
              </w:rPr>
              <w:t xml:space="preserve">24–26</w:t>
            </w:r>
          </w:p>
        </w:tc>
      </w:tr>
    </w:tbl>
    <w:p>
      <w:pPr>
        <w:keepNext/>
        <w:spacing w:after="90" w:before="200"/>
      </w:pPr>
      <w:r>
        <w:rPr>
          <w:rFonts w:ascii="Cambria" w:cs="Cambria" w:eastAsia="Cambria" w:hAnsi="Cambria"/>
          <w:b/>
          <w:bCs/>
          <w:color w:val="AD4426"/>
          <w:sz w:val="25"/>
          <w:szCs w:val="25"/>
        </w:rPr>
        <w:t xml:space="preserve">Erwartungshorizont: Schreibplan</w:t>
      </w:r>
    </w:p>
    <w:p>
      <w:pPr>
        <w:keepNext/>
        <w:spacing w:after="70" w:before="0"/>
      </w:pPr>
      <w:r>
        <w:rPr>
          <w:rFonts w:ascii="Calibri" w:cs="Calibri" w:eastAsia="Calibri" w:hAnsi="Calibri"/>
          <w:b/>
          <w:bCs/>
          <w:color w:val="2B2318"/>
          <w:sz w:val="19"/>
          <w:szCs w:val="19"/>
        </w:rPr>
        <w:t xml:space="preserve">Schritt 1 – Einleitung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BFB5A5" w:sz="4"/>
              <w:left w:val="single" w:color="BFB5A5" w:sz="4"/>
              <w:bottom w:val="single" w:color="BFB5A5" w:sz="4"/>
              <w:right w:val="single" w:color="BFB5A5" w:sz="4"/>
            </w:tcBorders>
            <w:shd w:fill="F4ECDE" w:color="auto" w:val="clear"/>
            <w:tcMar>
              <w:top w:type="dxa" w:w="50"/>
              <w:left w:type="dxa" w:w="90"/>
              <w:bottom w:type="dxa" w:w="50"/>
              <w:right w:type="dxa" w:w="90"/>
            </w:tcMar>
          </w:tcPr>
          <w:p>
            <w:pPr>
              <w:spacing w:after="20" w:before="0"/>
            </w:pPr>
            <w:r>
              <w:rPr>
                <w:rFonts w:ascii="Calibri" w:cs="Calibri" w:eastAsia="Calibri" w:hAnsi="Calibri"/>
                <w:b/>
                <w:bCs/>
                <w:color w:val="2B2318"/>
                <w:sz w:val="18"/>
                <w:szCs w:val="18"/>
              </w:rPr>
              <w:t xml:space="preserve">Autor</w:t>
            </w:r>
          </w:p>
        </w:tc>
        <w:tc>
          <w:tcPr>
            <w:tcW w:type="dxa" w:w="7438"/>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b w:val="false"/>
                <w:bCs w:val="false"/>
                <w:color w:val="2B2318"/>
                <w:sz w:val="18"/>
                <w:szCs w:val="18"/>
              </w:rPr>
              <w:t xml:space="preserve">Aristoteles, griechischer Philosoph (384–322 v. Chr.), lebte in Athen, kein Bürger</w:t>
            </w:r>
          </w:p>
        </w:tc>
      </w:tr>
      <w:tr>
        <w:trPr>
          <w:cantSplit/>
        </w:trPr>
        <w:tc>
          <w:tcPr>
            <w:tcW w:type="dxa" w:w="2200"/>
            <w:tcBorders>
              <w:top w:val="single" w:color="BFB5A5" w:sz="4"/>
              <w:left w:val="single" w:color="BFB5A5" w:sz="4"/>
              <w:bottom w:val="single" w:color="BFB5A5" w:sz="4"/>
              <w:right w:val="single" w:color="BFB5A5" w:sz="4"/>
            </w:tcBorders>
            <w:shd w:fill="F4ECDE" w:color="auto" w:val="clear"/>
            <w:tcMar>
              <w:top w:type="dxa" w:w="50"/>
              <w:left w:type="dxa" w:w="90"/>
              <w:bottom w:type="dxa" w:w="50"/>
              <w:right w:type="dxa" w:w="90"/>
            </w:tcMar>
          </w:tcPr>
          <w:p>
            <w:pPr>
              <w:spacing w:after="20" w:before="0"/>
            </w:pPr>
            <w:r>
              <w:rPr>
                <w:rFonts w:ascii="Calibri" w:cs="Calibri" w:eastAsia="Calibri" w:hAnsi="Calibri"/>
                <w:b/>
                <w:bCs/>
                <w:color w:val="2B2318"/>
                <w:sz w:val="18"/>
                <w:szCs w:val="18"/>
              </w:rPr>
              <w:t xml:space="preserve">Quellenart</w:t>
            </w:r>
          </w:p>
        </w:tc>
        <w:tc>
          <w:tcPr>
            <w:tcW w:type="dxa" w:w="7438"/>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b w:val="false"/>
                <w:bCs w:val="false"/>
                <w:color w:val="2B2318"/>
                <w:sz w:val="18"/>
                <w:szCs w:val="18"/>
              </w:rPr>
              <w:t xml:space="preserve">Sachtext: Schrift über die Verfassung Athens</w:t>
            </w:r>
          </w:p>
        </w:tc>
      </w:tr>
      <w:tr>
        <w:trPr>
          <w:cantSplit/>
        </w:trPr>
        <w:tc>
          <w:tcPr>
            <w:tcW w:type="dxa" w:w="2200"/>
            <w:tcBorders>
              <w:top w:val="single" w:color="BFB5A5" w:sz="4"/>
              <w:left w:val="single" w:color="BFB5A5" w:sz="4"/>
              <w:bottom w:val="single" w:color="BFB5A5" w:sz="4"/>
              <w:right w:val="single" w:color="BFB5A5" w:sz="4"/>
            </w:tcBorders>
            <w:shd w:fill="F4ECDE" w:color="auto" w:val="clear"/>
            <w:tcMar>
              <w:top w:type="dxa" w:w="50"/>
              <w:left w:type="dxa" w:w="90"/>
              <w:bottom w:type="dxa" w:w="50"/>
              <w:right w:type="dxa" w:w="90"/>
            </w:tcMar>
          </w:tcPr>
          <w:p>
            <w:pPr>
              <w:spacing w:after="20" w:before="0"/>
            </w:pPr>
            <w:r>
              <w:rPr>
                <w:rFonts w:ascii="Calibri" w:cs="Calibri" w:eastAsia="Calibri" w:hAnsi="Calibri"/>
                <w:b/>
                <w:bCs/>
                <w:color w:val="2B2318"/>
                <w:sz w:val="18"/>
                <w:szCs w:val="18"/>
              </w:rPr>
              <w:t xml:space="preserve">Entstehungszeit</w:t>
            </w:r>
          </w:p>
        </w:tc>
        <w:tc>
          <w:tcPr>
            <w:tcW w:type="dxa" w:w="7438"/>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b w:val="false"/>
                <w:bCs w:val="false"/>
                <w:color w:val="2B2318"/>
                <w:sz w:val="18"/>
                <w:szCs w:val="18"/>
              </w:rPr>
              <w:t xml:space="preserve">um 330 v. Chr. (rund 180 Jahre nach den Reformen)</w:t>
            </w:r>
          </w:p>
        </w:tc>
      </w:tr>
      <w:tr>
        <w:trPr>
          <w:cantSplit/>
        </w:trPr>
        <w:tc>
          <w:tcPr>
            <w:tcW w:type="dxa" w:w="2200"/>
            <w:tcBorders>
              <w:top w:val="single" w:color="BFB5A5" w:sz="4"/>
              <w:left w:val="single" w:color="BFB5A5" w:sz="4"/>
              <w:bottom w:val="single" w:color="BFB5A5" w:sz="4"/>
              <w:right w:val="single" w:color="BFB5A5" w:sz="4"/>
            </w:tcBorders>
            <w:shd w:fill="F4ECDE" w:color="auto" w:val="clear"/>
            <w:tcMar>
              <w:top w:type="dxa" w:w="50"/>
              <w:left w:type="dxa" w:w="90"/>
              <w:bottom w:type="dxa" w:w="50"/>
              <w:right w:type="dxa" w:w="90"/>
            </w:tcMar>
          </w:tcPr>
          <w:p>
            <w:pPr>
              <w:spacing w:after="20" w:before="0"/>
            </w:pPr>
            <w:r>
              <w:rPr>
                <w:rFonts w:ascii="Calibri" w:cs="Calibri" w:eastAsia="Calibri" w:hAnsi="Calibri"/>
                <w:b/>
                <w:bCs/>
                <w:color w:val="2B2318"/>
                <w:sz w:val="18"/>
                <w:szCs w:val="18"/>
              </w:rPr>
              <w:t xml:space="preserve">Adressat</w:t>
            </w:r>
          </w:p>
        </w:tc>
        <w:tc>
          <w:tcPr>
            <w:tcW w:type="dxa" w:w="7438"/>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b w:val="false"/>
                <w:bCs w:val="false"/>
                <w:color w:val="2B2318"/>
                <w:sz w:val="18"/>
                <w:szCs w:val="18"/>
              </w:rPr>
              <w:t xml:space="preserve">seine Schüler und gebildete Leser</w:t>
            </w:r>
          </w:p>
        </w:tc>
      </w:tr>
      <w:tr>
        <w:trPr>
          <w:cantSplit/>
        </w:trPr>
        <w:tc>
          <w:tcPr>
            <w:tcW w:type="dxa" w:w="2200"/>
            <w:tcBorders>
              <w:top w:val="single" w:color="BFB5A5" w:sz="4"/>
              <w:left w:val="single" w:color="BFB5A5" w:sz="4"/>
              <w:bottom w:val="single" w:color="BFB5A5" w:sz="4"/>
              <w:right w:val="single" w:color="BFB5A5" w:sz="4"/>
            </w:tcBorders>
            <w:shd w:fill="F4ECDE" w:color="auto" w:val="clear"/>
            <w:tcMar>
              <w:top w:type="dxa" w:w="50"/>
              <w:left w:type="dxa" w:w="90"/>
              <w:bottom w:type="dxa" w:w="50"/>
              <w:right w:type="dxa" w:w="90"/>
            </w:tcMar>
          </w:tcPr>
          <w:p>
            <w:pPr>
              <w:spacing w:after="20" w:before="0"/>
            </w:pPr>
            <w:r>
              <w:rPr>
                <w:rFonts w:ascii="Calibri" w:cs="Calibri" w:eastAsia="Calibri" w:hAnsi="Calibri"/>
                <w:b/>
                <w:bCs/>
                <w:color w:val="2B2318"/>
                <w:sz w:val="18"/>
                <w:szCs w:val="18"/>
              </w:rPr>
              <w:t xml:space="preserve">Thema</w:t>
            </w:r>
          </w:p>
        </w:tc>
        <w:tc>
          <w:tcPr>
            <w:tcW w:type="dxa" w:w="7438"/>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b w:val="false"/>
                <w:bCs w:val="false"/>
                <w:color w:val="2B2318"/>
                <w:sz w:val="18"/>
                <w:szCs w:val="18"/>
              </w:rPr>
              <w:t xml:space="preserve">die Reformen des Kleisthenes (508/07 v. Chr.)</w:t>
            </w:r>
          </w:p>
        </w:tc>
      </w:tr>
    </w:tbl>
    <w:p>
      <w:pPr>
        <w:spacing w:after="70" w:before="60"/>
      </w:pPr>
      <w:r>
        <w:rPr>
          <w:rFonts w:ascii="Calibri" w:cs="Calibri" w:eastAsia="Calibri" w:hAnsi="Calibri"/>
          <w:i/>
          <w:iCs/>
          <w:color w:val="2B2318"/>
          <w:sz w:val="19"/>
          <w:szCs w:val="19"/>
        </w:rPr>
        <w:t xml:space="preserve">Einleitungssatz: „Bei der Quelle handelt es sich um einen Auszug aus der Schrift „Der Staat der Athener“ des griechischen Philosophen Aristoteles, die um 330 v. Chr. entstand. Sie richtet sich an seine Schüler und gebildete Leser und behandelt die Reformen des Kleisthenes 508/07 v. Chr.“</w:t>
      </w:r>
    </w:p>
    <w:p>
      <w:pPr>
        <w:keepNext/>
        <w:spacing w:after="70" w:before="100"/>
      </w:pPr>
      <w:r>
        <w:rPr>
          <w:rFonts w:ascii="Calibri" w:cs="Calibri" w:eastAsia="Calibri" w:hAnsi="Calibri"/>
          <w:b/>
          <w:bCs/>
          <w:color w:val="2B2318"/>
          <w:sz w:val="19"/>
          <w:szCs w:val="19"/>
        </w:rPr>
        <w:t xml:space="preserve">Schritt 2 – Inhalt</w:t>
      </w:r>
      <w:r>
        <w:rPr>
          <w:rFonts w:ascii="Calibri" w:cs="Calibri" w:eastAsia="Calibri" w:hAnsi="Calibri"/>
          <w:color w:val="2B2318"/>
          <w:sz w:val="19"/>
          <w:szCs w:val="19"/>
        </w:rPr>
        <w:t xml:space="preserve"> (andere Formulierungen richtig, wenn Kern, indirekte Rede und Zeilen stimmen)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trPr>
        <w:tc>
          <w:tcPr>
            <w:tcW w:type="dxa" w:w="1200"/>
            <w:tcBorders>
              <w:top w:val="single" w:color="BFB5A5" w:sz="4"/>
              <w:left w:val="single" w:color="BFB5A5" w:sz="4"/>
              <w:bottom w:val="single" w:color="BFB5A5" w:sz="4"/>
              <w:right w:val="single" w:color="BFB5A5" w:sz="4"/>
            </w:tcBorders>
            <w:shd w:fill="2B2318" w:color="auto" w:val="clear"/>
            <w:tcMar>
              <w:top w:type="dxa" w:w="50"/>
              <w:left w:type="dxa" w:w="90"/>
              <w:bottom w:type="dxa" w:w="50"/>
              <w:right w:type="dxa" w:w="90"/>
            </w:tcMar>
          </w:tcPr>
          <w:p>
            <w:pPr>
              <w:spacing w:after="20" w:before="0"/>
            </w:pPr>
            <w:r>
              <w:rPr>
                <w:rFonts w:ascii="Calibri" w:cs="Calibri" w:eastAsia="Calibri" w:hAnsi="Calibri"/>
                <w:b/>
                <w:bCs/>
                <w:color w:val="FFFFFF"/>
                <w:sz w:val="18"/>
                <w:szCs w:val="18"/>
              </w:rPr>
              <w:t xml:space="preserve">Zeilen</w:t>
            </w:r>
          </w:p>
        </w:tc>
        <w:tc>
          <w:tcPr>
            <w:tcW w:type="dxa" w:w="8438"/>
            <w:tcBorders>
              <w:top w:val="single" w:color="BFB5A5" w:sz="4"/>
              <w:left w:val="single" w:color="BFB5A5" w:sz="4"/>
              <w:bottom w:val="single" w:color="BFB5A5" w:sz="4"/>
              <w:right w:val="single" w:color="BFB5A5" w:sz="4"/>
            </w:tcBorders>
            <w:shd w:fill="2B2318" w:color="auto" w:val="clear"/>
            <w:tcMar>
              <w:top w:type="dxa" w:w="50"/>
              <w:left w:type="dxa" w:w="90"/>
              <w:bottom w:type="dxa" w:w="50"/>
              <w:right w:type="dxa" w:w="90"/>
            </w:tcMar>
          </w:tcPr>
          <w:p>
            <w:pPr>
              <w:spacing w:after="20" w:before="0"/>
            </w:pPr>
            <w:r>
              <w:rPr>
                <w:rFonts w:ascii="Calibri" w:cs="Calibri" w:eastAsia="Calibri" w:hAnsi="Calibri"/>
                <w:b/>
                <w:bCs/>
                <w:color w:val="FFFFFF"/>
                <w:sz w:val="18"/>
                <w:szCs w:val="18"/>
              </w:rPr>
              <w:t xml:space="preserve">Lösung</w:t>
            </w:r>
          </w:p>
        </w:tc>
      </w:tr>
      <w:tr>
        <w:trPr>
          <w:cantSplit/>
        </w:trPr>
        <w:tc>
          <w:tcPr>
            <w:tcW w:type="dxa" w:w="1200"/>
            <w:tcBorders>
              <w:top w:val="single" w:color="BFB5A5" w:sz="4"/>
              <w:left w:val="single" w:color="BFB5A5" w:sz="4"/>
              <w:bottom w:val="single" w:color="BFB5A5" w:sz="4"/>
              <w:right w:val="single" w:color="BFB5A5" w:sz="4"/>
            </w:tcBorders>
            <w:shd w:fill="F4ECDE" w:color="auto" w:val="clear"/>
            <w:tcMar>
              <w:top w:type="dxa" w:w="50"/>
              <w:left w:type="dxa" w:w="90"/>
              <w:bottom w:type="dxa" w:w="50"/>
              <w:right w:type="dxa" w:w="90"/>
            </w:tcMar>
          </w:tcPr>
          <w:p>
            <w:pPr>
              <w:spacing w:after="20" w:before="0"/>
            </w:pPr>
            <w:r>
              <w:rPr>
                <w:rFonts w:ascii="Calibri" w:cs="Calibri" w:eastAsia="Calibri" w:hAnsi="Calibri"/>
                <w:b/>
                <w:bCs/>
                <w:color w:val="2B2318"/>
                <w:sz w:val="18"/>
                <w:szCs w:val="18"/>
              </w:rPr>
              <w:t xml:space="preserve">Z. 1–4</w:t>
            </w:r>
          </w:p>
        </w:tc>
        <w:tc>
          <w:tcPr>
            <w:tcW w:type="dxa" w:w="8438"/>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b w:val="false"/>
                <w:bCs w:val="false"/>
                <w:color w:val="2B2318"/>
                <w:sz w:val="18"/>
                <w:szCs w:val="18"/>
              </w:rPr>
              <w:t xml:space="preserve">Zunächst berichtet Aristoteles, nach dem Sturz der Tyrannen hätten Isagoras und Kleisthenes um die Macht gekämpft (Z. 1). Kleisthenes habe das Volk für sich gewonnen, indem er ihm die Macht im Staat übergeben habe (Z. 2–4).</w:t>
            </w:r>
          </w:p>
        </w:tc>
      </w:tr>
      <w:tr>
        <w:trPr>
          <w:cantSplit/>
        </w:trPr>
        <w:tc>
          <w:tcPr>
            <w:tcW w:type="dxa" w:w="1200"/>
            <w:tcBorders>
              <w:top w:val="single" w:color="BFB5A5" w:sz="4"/>
              <w:left w:val="single" w:color="BFB5A5" w:sz="4"/>
              <w:bottom w:val="single" w:color="BFB5A5" w:sz="4"/>
              <w:right w:val="single" w:color="BFB5A5" w:sz="4"/>
            </w:tcBorders>
            <w:shd w:fill="F4ECDE" w:color="auto" w:val="clear"/>
            <w:tcMar>
              <w:top w:type="dxa" w:w="50"/>
              <w:left w:type="dxa" w:w="90"/>
              <w:bottom w:type="dxa" w:w="50"/>
              <w:right w:type="dxa" w:w="90"/>
            </w:tcMar>
          </w:tcPr>
          <w:p>
            <w:pPr>
              <w:spacing w:after="20" w:before="0"/>
            </w:pPr>
            <w:r>
              <w:rPr>
                <w:rFonts w:ascii="Calibri" w:cs="Calibri" w:eastAsia="Calibri" w:hAnsi="Calibri"/>
                <w:b/>
                <w:bCs/>
                <w:color w:val="2B2318"/>
                <w:sz w:val="18"/>
                <w:szCs w:val="18"/>
              </w:rPr>
              <w:t xml:space="preserve">Z. 5–8</w:t>
            </w:r>
          </w:p>
        </w:tc>
        <w:tc>
          <w:tcPr>
            <w:tcW w:type="dxa" w:w="8438"/>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b w:val="false"/>
                <w:bCs w:val="false"/>
                <w:color w:val="2B2318"/>
                <w:sz w:val="18"/>
                <w:szCs w:val="18"/>
              </w:rPr>
              <w:t xml:space="preserve">Anschließend erklärt er, Kleisthenes habe die Bürger in zehn statt vier Phylen eingeteilt, um sie zu vermischen und mehr Menschen an der Politik zu beteiligen (Z. 5–7). Außerdem habe er einen Rat der 500 mit fünfzig Männern aus jeder Phyle geschaffen (Z. 7f.).</w:t>
            </w:r>
          </w:p>
        </w:tc>
      </w:tr>
      <w:tr>
        <w:trPr>
          <w:cantSplit/>
        </w:trPr>
        <w:tc>
          <w:tcPr>
            <w:tcW w:type="dxa" w:w="1200"/>
            <w:tcBorders>
              <w:top w:val="single" w:color="BFB5A5" w:sz="4"/>
              <w:left w:val="single" w:color="BFB5A5" w:sz="4"/>
              <w:bottom w:val="single" w:color="BFB5A5" w:sz="4"/>
              <w:right w:val="single" w:color="BFB5A5" w:sz="4"/>
            </w:tcBorders>
            <w:shd w:fill="F4ECDE" w:color="auto" w:val="clear"/>
            <w:tcMar>
              <w:top w:type="dxa" w:w="50"/>
              <w:left w:type="dxa" w:w="90"/>
              <w:bottom w:type="dxa" w:w="50"/>
              <w:right w:type="dxa" w:w="90"/>
            </w:tcMar>
          </w:tcPr>
          <w:p>
            <w:pPr>
              <w:spacing w:after="20" w:before="0"/>
            </w:pPr>
            <w:r>
              <w:rPr>
                <w:rFonts w:ascii="Calibri" w:cs="Calibri" w:eastAsia="Calibri" w:hAnsi="Calibri"/>
                <w:b/>
                <w:bCs/>
                <w:color w:val="2B2318"/>
                <w:sz w:val="18"/>
                <w:szCs w:val="18"/>
              </w:rPr>
              <w:t xml:space="preserve">Z. 9–12</w:t>
            </w:r>
          </w:p>
        </w:tc>
        <w:tc>
          <w:tcPr>
            <w:tcW w:type="dxa" w:w="8438"/>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b w:val="false"/>
                <w:bCs w:val="false"/>
                <w:color w:val="2B2318"/>
                <w:sz w:val="18"/>
                <w:szCs w:val="18"/>
              </w:rPr>
              <w:t xml:space="preserve">Außerdem habe Kleisthenes das Land in dreißig Trittyen geteilt, je zehn um die Stadt, an der Küste und im Binnenland (Z. 9f.). Jeder Phyle seien durch das Los drei Trittyen zugeteilt worden, damit sie an allen Gebieten Anteil habe (Z. 11f.).</w:t>
            </w:r>
          </w:p>
        </w:tc>
      </w:tr>
      <w:tr>
        <w:trPr>
          <w:cantSplit/>
        </w:trPr>
        <w:tc>
          <w:tcPr>
            <w:tcW w:type="dxa" w:w="1200"/>
            <w:tcBorders>
              <w:top w:val="single" w:color="BFB5A5" w:sz="4"/>
              <w:left w:val="single" w:color="BFB5A5" w:sz="4"/>
              <w:bottom w:val="single" w:color="BFB5A5" w:sz="4"/>
              <w:right w:val="single" w:color="BFB5A5" w:sz="4"/>
            </w:tcBorders>
            <w:shd w:fill="F4ECDE" w:color="auto" w:val="clear"/>
            <w:tcMar>
              <w:top w:type="dxa" w:w="50"/>
              <w:left w:type="dxa" w:w="90"/>
              <w:bottom w:type="dxa" w:w="50"/>
              <w:right w:type="dxa" w:w="90"/>
            </w:tcMar>
          </w:tcPr>
          <w:p>
            <w:pPr>
              <w:spacing w:after="20" w:before="0"/>
            </w:pPr>
            <w:r>
              <w:rPr>
                <w:rFonts w:ascii="Calibri" w:cs="Calibri" w:eastAsia="Calibri" w:hAnsi="Calibri"/>
                <w:b/>
                <w:bCs/>
                <w:color w:val="2B2318"/>
                <w:sz w:val="18"/>
                <w:szCs w:val="18"/>
              </w:rPr>
              <w:t xml:space="preserve">Z. 12–14</w:t>
            </w:r>
          </w:p>
        </w:tc>
        <w:tc>
          <w:tcPr>
            <w:tcW w:type="dxa" w:w="8438"/>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b w:val="false"/>
                <w:bCs w:val="false"/>
                <w:color w:val="2B2318"/>
                <w:sz w:val="18"/>
                <w:szCs w:val="18"/>
              </w:rPr>
              <w:t xml:space="preserve">Schließlich habe er bestimmt, dass man sich nach seinem Demos und nicht mehr nach dem Vater benennt, damit man die neuen Bürger nicht erkennen konnte (Z. 12–14).</w:t>
            </w:r>
          </w:p>
        </w:tc>
      </w:tr>
    </w:tbl>
    <w:p>
      <w:pPr>
        <w:spacing w:after="70" w:before="100"/>
      </w:pPr>
      <w:r>
        <w:rPr>
          <w:rFonts w:ascii="Calibri" w:cs="Calibri" w:eastAsia="Calibri" w:hAnsi="Calibri"/>
          <w:b/>
          <w:bCs/>
          <w:color w:val="2B2318"/>
          <w:sz w:val="19"/>
          <w:szCs w:val="19"/>
        </w:rPr>
        <w:t xml:space="preserve">Schritt 3 – Einordnen (nur bei Zeit):</w:t>
      </w:r>
      <w:r>
        <w:rPr>
          <w:rFonts w:ascii="Calibri" w:cs="Calibri" w:eastAsia="Calibri" w:hAnsi="Calibri"/>
          <w:color w:val="2B2318"/>
          <w:sz w:val="19"/>
          <w:szCs w:val="19"/>
        </w:rPr>
        <w:t xml:space="preserve"> Nach dem Sturz des Tyrannen Hippias (510) kämpften die Adelsfamilien wieder um die Macht. Kleisthenes setzte seine Reform 508/07 mit Hilfe des Volkes durch. Laut Aristoteles wollte er die Bürger „vermischen“, damit mehr Menschen am Staat teilhatten (Z. 6f.) – die Bindung an die Adelsfamilien sollte gebrochen werden (Montag).</w:t>
      </w:r>
    </w:p>
    <w:p>
      <w:pPr>
        <w:spacing w:after="70" w:before="0"/>
      </w:pPr>
      <w:r>
        <w:rPr>
          <w:rFonts w:ascii="Calibri" w:cs="Calibri" w:eastAsia="Calibri" w:hAnsi="Calibri"/>
          <w:b/>
          <w:bCs/>
          <w:color w:val="2B2318"/>
          <w:sz w:val="19"/>
          <w:szCs w:val="19"/>
        </w:rPr>
        <w:t xml:space="preserve">Schritt 4 – Urteilen (nur bei Zeit):</w:t>
      </w:r>
      <w:r>
        <w:rPr>
          <w:rFonts w:ascii="Calibri" w:cs="Calibri" w:eastAsia="Calibri" w:hAnsi="Calibri"/>
          <w:color w:val="2B2318"/>
          <w:sz w:val="19"/>
          <w:szCs w:val="19"/>
        </w:rPr>
        <w:t xml:space="preserve"> Aristoteles war kein Augenzeuge; er schrieb rund 180 Jahre später und stützte sich auf ältere Schriften. Er nennt Absichten („damit …“), die er selbst so deutet. Die Angaben zu Phylen, Rat und Trittyen passen aber zu anderen Überlieferungen – als Quelle für die Ordnung gut brauchbar, für die Absichten des Kleisthenes nur eingeschränkt.</w:t>
      </w:r>
    </w:p>
    <w:p>
      <w:pPr>
        <w:keepNext/>
        <w:spacing w:after="90" w:before="200"/>
      </w:pPr>
      <w:r>
        <w:rPr>
          <w:rFonts w:ascii="Cambria" w:cs="Cambria" w:eastAsia="Cambria" w:hAnsi="Cambria"/>
          <w:b/>
          <w:bCs/>
          <w:color w:val="AD4426"/>
          <w:sz w:val="25"/>
          <w:szCs w:val="25"/>
        </w:rPr>
        <w:t xml:space="preserve">Stolpersteine (Warnung vor dem Fehler) und gestufte Hilfsimpulse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5A5" w:sz="4"/>
              <w:left w:val="single" w:color="BFB5A5" w:sz="4"/>
              <w:bottom w:val="single" w:color="BFB5A5" w:sz="4"/>
              <w:right w:val="single" w:color="BFB5A5" w:sz="4"/>
            </w:tcBorders>
            <w:shd w:fill="2B2318" w:color="auto" w:val="clear"/>
            <w:tcMar>
              <w:top w:type="dxa" w:w="50"/>
              <w:left w:type="dxa" w:w="90"/>
              <w:bottom w:type="dxa" w:w="50"/>
              <w:right w:type="dxa" w:w="90"/>
            </w:tcMar>
          </w:tcPr>
          <w:p>
            <w:pPr>
              <w:spacing w:after="20" w:before="0"/>
            </w:pPr>
            <w:r>
              <w:rPr>
                <w:rFonts w:ascii="Calibri" w:cs="Calibri" w:eastAsia="Calibri" w:hAnsi="Calibri"/>
                <w:b/>
                <w:bCs/>
                <w:color w:val="FFFFFF"/>
                <w:sz w:val="18"/>
                <w:szCs w:val="18"/>
              </w:rPr>
              <w:t xml:space="preserve">Stolperstein</w:t>
            </w:r>
          </w:p>
        </w:tc>
        <w:tc>
          <w:tcPr>
            <w:tcW w:type="dxa" w:w="7038"/>
            <w:tcBorders>
              <w:top w:val="single" w:color="BFB5A5" w:sz="4"/>
              <w:left w:val="single" w:color="BFB5A5" w:sz="4"/>
              <w:bottom w:val="single" w:color="BFB5A5" w:sz="4"/>
              <w:right w:val="single" w:color="BFB5A5" w:sz="4"/>
            </w:tcBorders>
            <w:shd w:fill="2B2318" w:color="auto" w:val="clear"/>
            <w:tcMar>
              <w:top w:type="dxa" w:w="50"/>
              <w:left w:type="dxa" w:w="90"/>
              <w:bottom w:type="dxa" w:w="50"/>
              <w:right w:type="dxa" w:w="90"/>
            </w:tcMar>
          </w:tcPr>
          <w:p>
            <w:pPr>
              <w:spacing w:after="20" w:before="0"/>
            </w:pPr>
            <w:r>
              <w:rPr>
                <w:rFonts w:ascii="Calibri" w:cs="Calibri" w:eastAsia="Calibri" w:hAnsi="Calibri"/>
                <w:b/>
                <w:bCs/>
                <w:color w:val="FFFFFF"/>
                <w:sz w:val="18"/>
                <w:szCs w:val="18"/>
              </w:rPr>
              <w:t xml:space="preserve">Was du sagst</w:t>
            </w:r>
          </w:p>
        </w:tc>
      </w:tr>
      <w:tr>
        <w:trPr>
          <w:cantSplit/>
        </w:trPr>
        <w:tc>
          <w:tcPr>
            <w:tcW w:type="dxa" w:w="26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8"/>
                <w:szCs w:val="18"/>
              </w:rPr>
              <w:t xml:space="preserve">„Aristoteles war Augenzeuge.“</w:t>
            </w:r>
          </w:p>
        </w:tc>
        <w:tc>
          <w:tcPr>
            <w:tcW w:type="dxa" w:w="7038"/>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8"/>
                <w:szCs w:val="18"/>
              </w:rPr>
              <w:t xml:space="preserve">„Wann lebte er – und wann war die Reform? Rechne nach.“</w:t>
            </w:r>
          </w:p>
        </w:tc>
      </w:tr>
      <w:tr>
        <w:trPr>
          <w:cantSplit/>
        </w:trPr>
        <w:tc>
          <w:tcPr>
            <w:tcW w:type="dxa" w:w="26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8"/>
                <w:szCs w:val="18"/>
              </w:rPr>
              <w:t xml:space="preserve">Entstehungszeit = 508/07</w:t>
            </w:r>
          </w:p>
        </w:tc>
        <w:tc>
          <w:tcPr>
            <w:tcW w:type="dxa" w:w="7038"/>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8"/>
                <w:szCs w:val="18"/>
              </w:rPr>
              <w:t xml:space="preserve">„Das ist die Zeit der Reform. Wann wurde der Text geschrieben?“</w:t>
            </w:r>
          </w:p>
        </w:tc>
      </w:tr>
      <w:tr>
        <w:trPr>
          <w:cantSplit/>
        </w:trPr>
        <w:tc>
          <w:tcPr>
            <w:tcW w:type="dxa" w:w="26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8"/>
                <w:szCs w:val="18"/>
              </w:rPr>
              <w:t xml:space="preserve">Thema: „Aristoteles“ oder „Athen“</w:t>
            </w:r>
          </w:p>
        </w:tc>
        <w:tc>
          <w:tcPr>
            <w:tcW w:type="dxa" w:w="7038"/>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8"/>
                <w:szCs w:val="18"/>
              </w:rPr>
              <w:t xml:space="preserve">„Worüber schreibt er in diesem Ausschnitt genau?“</w:t>
            </w:r>
          </w:p>
        </w:tc>
      </w:tr>
      <w:tr>
        <w:trPr>
          <w:cantSplit/>
        </w:trPr>
        <w:tc>
          <w:tcPr>
            <w:tcW w:type="dxa" w:w="26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8"/>
                <w:szCs w:val="18"/>
              </w:rPr>
              <w:t xml:space="preserve">Abschreiben statt eigene Worte</w:t>
            </w:r>
          </w:p>
        </w:tc>
        <w:tc>
          <w:tcPr>
            <w:tcW w:type="dxa" w:w="7038"/>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8"/>
                <w:szCs w:val="18"/>
              </w:rPr>
              <w:t xml:space="preserve">„Deck die Quelle ab und sag es mir in einem Satz.“</w:t>
            </w:r>
          </w:p>
        </w:tc>
      </w:tr>
      <w:tr>
        <w:trPr>
          <w:cantSplit/>
        </w:trPr>
        <w:tc>
          <w:tcPr>
            <w:tcW w:type="dxa" w:w="26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8"/>
                <w:szCs w:val="18"/>
              </w:rPr>
              <w:t xml:space="preserve">Indikativ („Kleisthenes teilte …“)</w:t>
            </w:r>
          </w:p>
        </w:tc>
        <w:tc>
          <w:tcPr>
            <w:tcW w:type="dxa" w:w="7038"/>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8"/>
                <w:szCs w:val="18"/>
              </w:rPr>
              <w:t xml:space="preserve">„Wer sagt das? Mach deutlich, dass es Aristoteles sagt: … habe …“</w:t>
            </w:r>
          </w:p>
        </w:tc>
      </w:tr>
      <w:tr>
        <w:trPr>
          <w:cantSplit/>
        </w:trPr>
        <w:tc>
          <w:tcPr>
            <w:tcW w:type="dxa" w:w="26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8"/>
                <w:szCs w:val="18"/>
              </w:rPr>
              <w:t xml:space="preserve">Meinung im Inhalt („klug“, „gut“)</w:t>
            </w:r>
          </w:p>
        </w:tc>
        <w:tc>
          <w:tcPr>
            <w:tcW w:type="dxa" w:w="7038"/>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8"/>
                <w:szCs w:val="18"/>
              </w:rPr>
              <w:t xml:space="preserve">„Steht das in der Quelle? Heb es dir für Schritt 4 auf.“</w:t>
            </w:r>
          </w:p>
        </w:tc>
      </w:tr>
      <w:tr>
        <w:trPr>
          <w:cantSplit/>
        </w:trPr>
        <w:tc>
          <w:tcPr>
            <w:tcW w:type="dxa" w:w="2600"/>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8"/>
                <w:szCs w:val="18"/>
              </w:rPr>
              <w:t xml:space="preserve">Z. 12–14 unklar (Neubürger)</w:t>
            </w:r>
          </w:p>
        </w:tc>
        <w:tc>
          <w:tcPr>
            <w:tcW w:type="dxa" w:w="7038"/>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color w:val="2B2318"/>
                <w:sz w:val="18"/>
                <w:szCs w:val="18"/>
              </w:rPr>
              <w:t xml:space="preserve">„Kleisthenes nahm neue Bürger auf, z. B. Zugezogene. Woran hätte man sie bisher erkannt?“ (am Vatersnamen)</w:t>
            </w:r>
          </w:p>
        </w:tc>
      </w:tr>
    </w:tbl>
    <w:p>
      <w:pPr>
        <w:spacing w:after="70" w:before="80"/>
      </w:pPr>
      <w:r>
        <w:rPr>
          <w:rFonts w:ascii="Calibri" w:cs="Calibri" w:eastAsia="Calibri" w:hAnsi="Calibri"/>
          <w:b/>
          <w:bCs/>
          <w:color w:val="2B2318"/>
          <w:sz w:val="19"/>
          <w:szCs w:val="19"/>
        </w:rPr>
        <w:t xml:space="preserve">Gestufte Hilfen beim Inhalt</w:t>
      </w:r>
      <w:r>
        <w:rPr>
          <w:rFonts w:ascii="Calibri" w:cs="Calibri" w:eastAsia="Calibri" w:hAnsi="Calibri"/>
          <w:color w:val="2B2318"/>
          <w:sz w:val="19"/>
          <w:szCs w:val="19"/>
        </w:rPr>
        <w:t xml:space="preserve"> (mündlich, der Reihe nach): 1. „Unterstreiche den wichtigsten Satz des Abschnitts.“ – 2. „Wer tut was? Achte auf ‚damit‘ – das ist der Zweck.“ – 3. Stichworte aus der Lösung nennen (Lösung selbst bleibt am Pult).</w:t>
      </w:r>
    </w:p>
    <w:p>
      <w:pPr>
        <w:keepNext/>
        <w:spacing w:after="90" w:before="200"/>
      </w:pPr>
      <w:r>
        <w:rPr>
          <w:rFonts w:ascii="Cambria" w:cs="Cambria" w:eastAsia="Cambria" w:hAnsi="Cambria"/>
          <w:b/>
          <w:bCs/>
          <w:color w:val="AD4426"/>
          <w:sz w:val="25"/>
          <w:szCs w:val="25"/>
        </w:rPr>
        <w:t xml:space="preserve">Abschlussaufgabe: mögliche Ratschläge</w:t>
      </w:r>
    </w:p>
    <w:p>
      <w:pPr>
        <w:spacing w:after="40" w:before="0"/>
      </w:pPr>
      <w:r>
        <w:rPr>
          <w:rFonts w:ascii="Calibri" w:cs="Calibri" w:eastAsia="Calibri" w:hAnsi="Calibri"/>
          <w:color w:val="2B2318"/>
          <w:sz w:val="19"/>
          <w:szCs w:val="19"/>
        </w:rPr>
        <w:t xml:space="preserve">–  Ich rate dir, die Lebensdaten zu prüfen, weil Aristoteles rund 180 Jahre später schrieb und nicht dabei war.</w:t>
      </w:r>
    </w:p>
    <w:p>
      <w:pPr>
        <w:spacing w:after="40" w:before="0"/>
      </w:pPr>
      <w:r>
        <w:rPr>
          <w:rFonts w:ascii="Calibri" w:cs="Calibri" w:eastAsia="Calibri" w:hAnsi="Calibri"/>
          <w:color w:val="2B2318"/>
          <w:sz w:val="19"/>
          <w:szCs w:val="19"/>
        </w:rPr>
        <w:t xml:space="preserve">–  Ich rate dir, Quellenart, Entstehungszeit und Adressat zu nennen, weil die Einleitung sonst unvollständig ist.</w:t>
      </w:r>
    </w:p>
    <w:p>
      <w:pPr>
        <w:spacing w:after="40" w:before="0"/>
      </w:pPr>
      <w:r>
        <w:rPr>
          <w:rFonts w:ascii="Calibri" w:cs="Calibri" w:eastAsia="Calibri" w:hAnsi="Calibri"/>
          <w:color w:val="2B2318"/>
          <w:sz w:val="19"/>
          <w:szCs w:val="19"/>
        </w:rPr>
        <w:t xml:space="preserve">–  Ich rate dir, indirekte Rede zu nutzen, weil du wiedergibst, was Aristoteles sagt.</w:t>
      </w:r>
    </w:p>
    <w:p>
      <w:pPr>
        <w:spacing w:after="40" w:before="0"/>
      </w:pPr>
      <w:r>
        <w:rPr>
          <w:rFonts w:ascii="Calibri" w:cs="Calibri" w:eastAsia="Calibri" w:hAnsi="Calibri"/>
          <w:color w:val="2B2318"/>
          <w:sz w:val="19"/>
          <w:szCs w:val="19"/>
        </w:rPr>
        <w:t xml:space="preserve">–  Ich rate dir, Zeilen anzugeben, weil man deine Aussagen sonst nicht überprüfen kann.</w:t>
      </w:r>
    </w:p>
    <w:p>
      <w:pPr>
        <w:spacing w:after="40" w:before="0"/>
      </w:pPr>
      <w:r>
        <w:rPr>
          <w:rFonts w:ascii="Calibri" w:cs="Calibri" w:eastAsia="Calibri" w:hAnsi="Calibri"/>
          <w:color w:val="2B2318"/>
          <w:sz w:val="19"/>
          <w:szCs w:val="19"/>
        </w:rPr>
        <w:t xml:space="preserve">–  Ich rate dir, „sehr gute Idee“ wegzulassen, weil die Meinung erst in Schritt 4 gehört.</w:t>
      </w:r>
    </w:p>
    <w:p>
      <w:pPr>
        <w:spacing w:after="40" w:before="0"/>
      </w:pPr>
      <w:r>
        <w:rPr>
          <w:rFonts w:ascii="Calibri" w:cs="Calibri" w:eastAsia="Calibri" w:hAnsi="Calibri"/>
          <w:color w:val="2B2318"/>
          <w:sz w:val="19"/>
          <w:szCs w:val="19"/>
        </w:rPr>
        <w:t xml:space="preserve">–  Ich rate dir, nichts hinzuzufügen, weil „die Demokratie eingeführt“ so nicht in der Quelle steht.</w:t>
      </w:r>
    </w:p>
    <w:p>
      <w:pPr>
        <w:keepNext/>
        <w:spacing w:after="90" w:before="200"/>
      </w:pPr>
      <w:r>
        <w:rPr>
          <w:rFonts w:ascii="Cambria" w:cs="Cambria" w:eastAsia="Cambria" w:hAnsi="Cambria"/>
          <w:b/>
          <w:bCs/>
          <w:color w:val="AD4426"/>
          <w:sz w:val="25"/>
          <w:szCs w:val="25"/>
        </w:rPr>
        <w:t xml:space="preserve">Sachinformation zur Quelle</w:t>
      </w:r>
    </w:p>
    <w:p>
      <w:pPr>
        <w:spacing w:after="70" w:before="0"/>
      </w:pPr>
      <w:r>
        <w:rPr>
          <w:rFonts w:ascii="Calibri" w:cs="Calibri" w:eastAsia="Calibri" w:hAnsi="Calibri"/>
          <w:color w:val="2B2318"/>
          <w:sz w:val="19"/>
          <w:szCs w:val="19"/>
        </w:rPr>
        <w:t xml:space="preserve">Die „Athenaion politeia“ wurde um 330 v. Chr. im Umfeld des Aristoteles verfasst (ob von ihm selbst, ist umstritten). Der Text auf dem Blatt ist eine eigene, stark vereinfachte und gekürzte Übertragung von Kap. 20,1 und 21,1–4. Isagoras war 508/07 Archon und wurde von Sparta unterstützt; Kleisthenes gehörte zu den Alkmeoniden. Die „Bünde der Adligen“ sind die Hetairien (Adelsclubs). Mit den „neuen Bürgern“ (Z. 13f.) sind Zugezogene und andere gemeint, die Kleisthenes ins Bürgerrecht aufnahm; der Demenname (z. B. „aus Paiania“) verdeckte ihre Herkunft.</w:t>
      </w:r>
    </w:p>
    <w:sectPr>
      <w:headerReference w:type="default" r:id="rId6"/>
      <w:pgSz w:w="11906" w:h="16838" w:orient="portrait"/>
      <w:pgMar w:top="900" w:right="1134" w:bottom="8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8C77"/>
        <w:sz w:val="16"/>
        <w:szCs w:val="16"/>
      </w:rPr>
      <w:t xml:space="preserve">Geschichte · Klasse 11 · Test und Quellenanalyse – Handreichung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318"/>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2026-10-29T15:40:30.282Z</dcterms:created>
  <dcterms:modified xsi:type="dcterms:W3CDTF">2026-10-29T15:40:30.282Z</dcterms:modified>
</cp:coreProperties>
</file>

<file path=docProps/custom.xml><?xml version="1.0" encoding="utf-8"?>
<Properties xmlns="http://schemas.openxmlformats.org/officeDocument/2006/custom-properties" xmlns:vt="http://schemas.openxmlformats.org/officeDocument/2006/docPropsVTypes"/>
</file>