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B6B8C"/>
          <w:sz w:val="17"/>
          <w:szCs w:val="17"/>
        </w:rPr>
        <w:t xml:space="preserve">TAFELBILD IN STICHWORTEN · </w:t>
      </w:r>
      <w:r>
        <w:rPr>
          <w:rFonts w:ascii="Calibri" w:cs="Calibri" w:eastAsia="Calibri" w:hAnsi="Calibri"/>
          <w:color w:val="5B6B8C"/>
          <w:sz w:val="17"/>
          <w:szCs w:val="17"/>
        </w:rPr>
        <w:t xml:space="preserve">① Abschnitt A: erst allein, dann gemeinsame Matrix · ② Abschnitt C: allein, dann an der Tafel zusammentragen · ③ These prüfen · ④ Matrix in Fließtext überführen</w:t>
      </w:r>
    </w:p>
    <w:tbl>
      <w:tblPr>
        <w:tblW w:type="dxa" w:w="153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5000"/>
        <w:gridCol w:w="4738"/>
      </w:tblGrid>
      <w:tr>
        <w:trPr>
          <w:cantSplit/>
        </w:trPr>
        <w:tc>
          <w:tcPr>
            <w:tcW w:type="dxa" w:w="15338"/>
            <w:gridSpan w:val="4"/>
            <w:tcBorders>
              <w:top w:val="none" w:color="FFFFFF" w:sz="0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mbria" w:cs="Cambria" w:eastAsia="Cambria" w:hAnsi="Cambria"/>
                <w:b/>
                <w:bCs/>
                <w:color w:val="F3F1EA"/>
                <w:sz w:val="32"/>
                <w:szCs w:val="32"/>
              </w:rPr>
              <w:t xml:space="preserve">Franz Kafka: „Brief an den Vater“ (1919)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3"/>
                <w:szCs w:val="23"/>
              </w:rPr>
              <w:t xml:space="preserve">These: </w:t>
            </w:r>
            <w:r>
              <w:rPr>
                <w:rFonts w:ascii="Calibri" w:cs="Calibri" w:eastAsia="Calibri" w:hAnsi="Calibri"/>
                <w:color w:val="F3F1EA"/>
                <w:sz w:val="23"/>
                <w:szCs w:val="23"/>
              </w:rPr>
              <w:t xml:space="preserve">Kafkas „Furcht“ gründet auf Kommunikationsproblemen.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0"/>
                <w:szCs w:val="20"/>
              </w:rPr>
              <w:t xml:space="preserve">So analysiert man: </w:t>
            </w:r>
            <w:r>
              <w:rPr>
                <w:rFonts w:ascii="Calibri" w:cs="Calibri" w:eastAsia="Calibri" w:hAnsi="Calibri"/>
                <w:b/>
                <w:bCs/>
                <w:color w:val="F3F1EA"/>
                <w:sz w:val="20"/>
                <w:szCs w:val="20"/>
              </w:rPr>
              <w:t xml:space="preserve">1 Verstehen</w:t>
            </w:r>
            <w:r>
              <w:rPr>
                <w:rFonts w:ascii="Calibri" w:cs="Calibri" w:eastAsia="Calibri" w:hAnsi="Calibri"/>
                <w:color w:val="C9C3A8"/>
                <w:sz w:val="19"/>
                <w:szCs w:val="19"/>
              </w:rPr>
              <w:t xml:space="preserve"> (Wer? An wen? Worum?)  →  </w:t>
            </w:r>
            <w:r>
              <w:rPr>
                <w:rFonts w:ascii="Calibri" w:cs="Calibri" w:eastAsia="Calibri" w:hAnsi="Calibri"/>
                <w:b/>
                <w:bCs/>
                <w:color w:val="F3F1EA"/>
                <w:sz w:val="20"/>
                <w:szCs w:val="20"/>
              </w:rPr>
              <w:t xml:space="preserve">2 Untersuchen</w:t>
            </w:r>
            <w:r>
              <w:rPr>
                <w:rFonts w:ascii="Calibri" w:cs="Calibri" w:eastAsia="Calibri" w:hAnsi="Calibri"/>
                <w:color w:val="C9C3A8"/>
                <w:sz w:val="19"/>
                <w:szCs w:val="19"/>
              </w:rPr>
              <w:t xml:space="preserve"> (Handlung · Modell · Wirkung)  →  </w:t>
            </w:r>
            <w:r>
              <w:rPr>
                <w:rFonts w:ascii="Calibri" w:cs="Calibri" w:eastAsia="Calibri" w:hAnsi="Calibri"/>
                <w:b/>
                <w:bCs/>
                <w:color w:val="F3F1EA"/>
                <w:sz w:val="20"/>
                <w:szCs w:val="20"/>
              </w:rPr>
              <w:t xml:space="preserve">3 Schreiben</w:t>
            </w:r>
            <w:r>
              <w:rPr>
                <w:rFonts w:ascii="Calibri" w:cs="Calibri" w:eastAsia="Calibri" w:hAnsi="Calibri"/>
                <w:color w:val="C9C3A8"/>
                <w:sz w:val="19"/>
                <w:szCs w:val="19"/>
              </w:rPr>
              <w:t xml:space="preserve"> (Behauptung → Beleg → Erklärung)</w:t>
            </w:r>
          </w:p>
        </w:tc>
      </w:tr>
      <w:tr>
        <w:trPr>
          <w:cantSplit/>
          <w:trHeight w:val="380" w:hRule="atLeast"/>
        </w:trPr>
        <w:tc>
          <w:tcPr>
            <w:tcW w:type="dxa" w:w="15338"/>
            <w:gridSpan w:val="4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C3A8"/>
                <w:sz w:val="20"/>
                <w:szCs w:val="20"/>
              </w:rPr>
              <w:t xml:space="preserve">①  </w:t>
            </w:r>
            <w:r>
              <w:rPr>
                <w:rFonts w:ascii="Calibri" w:cs="Calibri" w:eastAsia="Calibri" w:hAnsi="Calibri"/>
                <w:b/>
                <w:bCs/>
                <w:color w:val="8EC3F0"/>
                <w:sz w:val="23"/>
                <w:szCs w:val="23"/>
              </w:rPr>
              <w:t xml:space="preserve">A  Redeverbot – gemeinsam</w:t>
            </w:r>
            <w:r>
              <w:rPr>
                <w:rFonts w:ascii="Calibri" w:cs="Calibri" w:eastAsia="Calibri" w:hAnsi="Calibri"/>
                <w:i/>
                <w:iCs/>
                <w:color w:val="C9C3A8"/>
                <w:sz w:val="19"/>
                <w:szCs w:val="19"/>
              </w:rPr>
              <w:t xml:space="preserve">   „ich verlernte das Reden“ (S. 5 f.)</w:t>
            </w:r>
          </w:p>
        </w:tc>
      </w:tr>
      <w:tr>
        <w:trPr>
          <w:cantSplit/>
          <w:trHeight w:val="40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1"/>
                <w:szCs w:val="21"/>
              </w:rPr>
              <w:t xml:space="preserve">Z.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1"/>
                <w:szCs w:val="21"/>
              </w:rPr>
              <w:t xml:space="preserve">Handlung des Vaters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1"/>
                <w:szCs w:val="21"/>
              </w:rPr>
              <w:t xml:space="preserve">Modell (Seite / Axiom)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1"/>
                <w:szCs w:val="21"/>
              </w:rPr>
              <w:t xml:space="preserve">Wirkung auf den Sohn (Zitat)</w:t>
            </w:r>
          </w:p>
        </w:tc>
      </w:tr>
      <w:tr>
        <w:trPr>
          <w:cantSplit/>
          <w:trHeight w:val="52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EC3F0"/>
                <w:sz w:val="20"/>
                <w:szCs w:val="20"/>
              </w:rPr>
              <w:t xml:space="preserve">4–5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„kein Wort der Widerrede!“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Appell „Schweig!“ + Beziehung „Ich bestimme“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„stockende, stotternde Art des Sprechens“ (Z. 7)</w:t>
            </w:r>
          </w:p>
        </w:tc>
      </w:tr>
      <w:tr>
        <w:trPr>
          <w:cantSplit/>
          <w:trHeight w:val="52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EC3F0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F3F1EA"/>
                <w:sz w:val="20"/>
                <w:szCs w:val="20"/>
              </w:rPr>
              <w:t xml:space="preserve">erhobene Hand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analoge Botschaft verstärkt die Drohung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„schließlich schwieg ich“ (Z. 8)</w:t>
            </w:r>
          </w:p>
        </w:tc>
      </w:tr>
      <w:tr>
        <w:trPr>
          <w:cantSplit/>
          <w:trHeight w:val="52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EC3F0"/>
                <w:sz w:val="20"/>
                <w:szCs w:val="20"/>
              </w:rPr>
              <w:t xml:space="preserve">6–7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F3F1EA"/>
                <w:sz w:val="20"/>
                <w:szCs w:val="20"/>
              </w:rPr>
              <w:t xml:space="preserve">selbst „ausgezeichneter Redner“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starr komplementär: oben / unten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„weder denken noch reden“ (Z. 9)</w:t>
            </w:r>
          </w:p>
        </w:tc>
      </w:tr>
      <w:tr>
        <w:trPr>
          <w:cantSplit/>
          <w:trHeight w:val="52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8EC3F0"/>
                <w:sz w:val="20"/>
                <w:szCs w:val="20"/>
              </w:rPr>
              <w:t xml:space="preserve">15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F3F1EA"/>
                <w:sz w:val="20"/>
                <w:szCs w:val="20"/>
              </w:rPr>
              <w:t xml:space="preserve">deutet Schweigen als „contra“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Interpunktion → Missverständnis (Trotz ↔ Gehorsam)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„verkroch mich vor Dir“ (Z. 12–13)</w:t>
            </w:r>
          </w:p>
        </w:tc>
      </w:tr>
      <w:tr>
        <w:trPr>
          <w:cantSplit/>
          <w:trHeight w:val="380" w:hRule="atLeast"/>
        </w:trPr>
        <w:tc>
          <w:tcPr>
            <w:tcW w:type="dxa" w:w="15338"/>
            <w:gridSpan w:val="4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C3A8"/>
                <w:sz w:val="20"/>
                <w:szCs w:val="20"/>
              </w:rPr>
              <w:t xml:space="preserve">②  </w:t>
            </w:r>
            <w:r>
              <w:rPr>
                <w:rFonts w:ascii="Calibri" w:cs="Calibri" w:eastAsia="Calibri" w:hAnsi="Calibri"/>
                <w:b/>
                <w:bCs/>
                <w:color w:val="F29A8E"/>
                <w:sz w:val="23"/>
                <w:szCs w:val="23"/>
              </w:rPr>
              <w:t xml:space="preserve">C  Ironie – allein</w:t>
            </w:r>
            <w:r>
              <w:rPr>
                <w:rFonts w:ascii="Calibri" w:cs="Calibri" w:eastAsia="Calibri" w:hAnsi="Calibri"/>
                <w:i/>
                <w:iCs/>
                <w:color w:val="C9C3A8"/>
                <w:sz w:val="19"/>
                <w:szCs w:val="19"/>
              </w:rPr>
              <w:t xml:space="preserve">   „Ein besonderes Vertrauen hattest Du zur Erziehung durch Ironie …“ (S. 6)</w:t>
            </w:r>
          </w:p>
        </w:tc>
      </w:tr>
      <w:tr>
        <w:trPr>
          <w:cantSplit/>
          <w:trHeight w:val="52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29A8E"/>
                <w:sz w:val="20"/>
                <w:szCs w:val="20"/>
              </w:rPr>
              <w:t xml:space="preserve">3–4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„Das ist Dir wohl schon zu viel?“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Ironie: Frage (Sache) ≠ Vorwurf (Beziehung)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„schon bestraft, ehe man noch wußte …“ (Z. 6)</w:t>
            </w:r>
          </w:p>
        </w:tc>
      </w:tr>
      <w:tr>
        <w:trPr>
          <w:cantSplit/>
          <w:trHeight w:val="52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29A8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„bösem Lachen und bösem Gesicht“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inkongruent: analog widerspricht digital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29A8E"/>
                <w:sz w:val="20"/>
                <w:szCs w:val="20"/>
              </w:rPr>
              <w:t xml:space="preserve">9–10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F3F1EA"/>
                <w:sz w:val="20"/>
                <w:szCs w:val="20"/>
              </w:rPr>
              <w:t xml:space="preserve">spricht „zur Mutter“: „vom Herrn Sohn“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Empfänger übergangen · Abwertung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„nicht einmal des bösen Ansprechens gewürdigt“ (Z. 8)</w:t>
            </w:r>
          </w:p>
        </w:tc>
      </w:tr>
      <w:tr>
        <w:trPr>
          <w:cantSplit/>
          <w:trHeight w:val="520" w:hRule="atLeast"/>
        </w:trPr>
        <w:tc>
          <w:tcPr>
            <w:tcW w:type="dxa" w:w="1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29A8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„Deiner Überlegenheit über mich“</w:t>
            </w:r>
          </w:p>
        </w:tc>
        <w:tc>
          <w:tcPr>
            <w:tcW w:type="dxa" w:w="5000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komplementär – Sohn übernimmt das Muster</w:t>
            </w:r>
          </w:p>
        </w:tc>
        <w:tc>
          <w:tcPr>
            <w:tcW w:type="dxa" w:w="4738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2E4A3B" w:color="auto" w:val="clear"/>
            <w:tcMar>
              <w:top w:type="dxa" w:w="50"/>
              <w:left w:type="dxa" w:w="140"/>
              <w:bottom w:type="dxa" w:w="50"/>
              <w:right w:type="dxa" w:w="14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fragt nur die Mutter: „Wie geht es dem Vater?“ (Z. 15)</w:t>
            </w:r>
          </w:p>
        </w:tc>
      </w:tr>
      <w:tr>
        <w:trPr>
          <w:cantSplit/>
          <w:trHeight w:val="520" w:hRule="atLeast"/>
        </w:trPr>
        <w:tc>
          <w:tcPr>
            <w:tcW w:type="dxa" w:w="15338"/>
            <w:gridSpan w:val="4"/>
            <w:tcBorders>
              <w:top w:val="single" w:color="6E8C7A" w:sz="6"/>
              <w:left w:val="none" w:color="FFFFFF" w:sz="0"/>
              <w:bottom w:val="single" w:color="6E8C7A" w:sz="6"/>
              <w:right w:val="none" w:color="FFFFFF" w:sz="0"/>
            </w:tcBorders>
            <w:shd w:fill="3A5A4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2"/>
                <w:szCs w:val="22"/>
              </w:rPr>
              <w:t xml:space="preserve">③ These geprüft:  </w:t>
            </w: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✓ stützt: Wo Widerspruch unmöglich ist, entsteht Furcht.   + ergänzt: „Stärke … Schwäche“ – „Du verstärktest nur, was war“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3F1EA"/>
                <w:sz w:val="20"/>
                <w:szCs w:val="20"/>
              </w:rPr>
              <w:t xml:space="preserve">→ Der Brief selbst ist Metakommunikation – und erreicht den Vater nie.</w:t>
            </w:r>
          </w:p>
        </w:tc>
      </w:tr>
      <w:tr>
        <w:trPr>
          <w:cantSplit/>
          <w:trHeight w:val="900" w:hRule="atLeast"/>
        </w:trPr>
        <w:tc>
          <w:tcPr>
            <w:tcW w:type="dxa" w:w="153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A3B" w:color="auto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3"/>
                <w:szCs w:val="23"/>
              </w:rPr>
              <w:t xml:space="preserve">④ Auftrag: Tafelbild → Fließtext</w:t>
            </w: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   Schreibe deine Analyse von A und C als zusammenhängenden Text.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0"/>
                <w:szCs w:val="20"/>
              </w:rPr>
              <w:t xml:space="preserve">Aufbau:  </w:t>
            </w:r>
            <w:r>
              <w:rPr>
                <w:rFonts w:ascii="Calibri" w:cs="Calibri" w:eastAsia="Calibri" w:hAnsi="Calibri"/>
                <w:color w:val="F3F1EA"/>
                <w:sz w:val="20"/>
                <w:szCs w:val="20"/>
              </w:rPr>
              <w:t xml:space="preserve">Einleitung (Wer? An wen? Worum?)  →  je Zeile der Matrix: Behauptung → Beleg (Zitat + Z.) → Erklärung  →  Schluss: These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5D76E"/>
                <w:sz w:val="20"/>
                <w:szCs w:val="20"/>
              </w:rPr>
              <w:t xml:space="preserve">Satzbausteine:  </w:t>
            </w:r>
            <w:r>
              <w:rPr>
                <w:rFonts w:ascii="Calibri" w:cs="Calibri" w:eastAsia="Calibri" w:hAnsi="Calibri"/>
                <w:i/>
                <w:iCs/>
                <w:color w:val="F3F1EA"/>
                <w:sz w:val="20"/>
                <w:szCs w:val="20"/>
              </w:rPr>
              <w:t xml:space="preserve">Indem der Vater …, sendet er …  ·  Dies zeigt sich in … (Z. …)  ·  Hinzu kommt, dass …  ·  Die Folge ist …  ·  Insgesamt stützt die Stelle die These, weil …</w:t>
            </w:r>
          </w:p>
        </w:tc>
      </w:tr>
    </w:tbl>
    <w:sectPr>
      <w:pgSz w:w="16838" w:h="11906" w:orient="landscape"/>
      <w:pgMar w:top="500" w:right="750" w:bottom="4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2026-10-04T16:24:41.017Z</dcterms:created>
  <dcterms:modified xsi:type="dcterms:W3CDTF">2026-10-04T16:24:41.017Z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