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b/>
          <w:bCs/>
          <w:color w:val="AD4426"/>
          <w:sz w:val="16"/>
          <w:szCs w:val="16"/>
        </w:rPr>
        <w:t xml:space="preserve">HANDREICHUNG · GESCHICHTE KLASSE 11 · EINZELSTUNDE (45 MIN., 10. STUNDE)</w:t>
      </w:r>
    </w:p>
    <w:p>
      <w:pPr>
        <w:spacing w:after="140"/>
      </w:pPr>
      <w:r>
        <w:rPr>
          <w:rFonts w:ascii="Cambria" w:cs="Cambria" w:eastAsia="Cambria" w:hAnsi="Cambria"/>
          <w:b/>
          <w:bCs/>
          <w:color w:val="2B2318"/>
          <w:sz w:val="34"/>
          <w:szCs w:val="34"/>
        </w:rPr>
        <w:t xml:space="preserve">Warum stimmt Lysias anders? – Die Reformen des Kleisthenes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ECDE" w:color="auto" w:val="clear"/>
            <w:tcMar>
              <w:top w:type="dxa" w:w="120"/>
              <w:left w:type="dxa" w:w="180"/>
              <w:bottom w:type="dxa" w:w="120"/>
              <w:right w:type="dxa" w:w="180"/>
            </w:tcMar>
          </w:tcPr>
          <w:p>
            <w:pPr>
              <w:spacing w:after="80" w:before="0"/>
            </w:pPr>
            <w:r>
              <w:rPr>
                <w:b/>
                <w:bCs/>
                <w:sz w:val="19"/>
                <w:szCs w:val="19"/>
              </w:rPr>
              <w:t xml:space="preserve">Ziel (Ich kann …):</w:t>
            </w:r>
            <w:r>
              <w:rPr>
                <w:sz w:val="19"/>
                <w:szCs w:val="19"/>
              </w:rPr>
              <w:t xml:space="preserve"> Ich kann erklären, wie Kleisthenes mit der neuen Phylenordnung die Macht der Adelsfamilien brach.</w:t>
            </w:r>
          </w:p>
          <w:p>
            <w:pPr>
              <w:spacing w:after="80" w:before="0"/>
            </w:pPr>
            <w:r>
              <w:rPr>
                <w:b/>
                <w:bCs/>
                <w:sz w:val="19"/>
                <w:szCs w:val="19"/>
              </w:rPr>
              <w:t xml:space="preserve">Prüfaufgabe:</w:t>
            </w:r>
            <w:r>
              <w:rPr>
                <w:sz w:val="19"/>
                <w:szCs w:val="19"/>
              </w:rPr>
              <w:t xml:space="preserve"> Abschlussaufgabe „Kleisthenes änderte an Solons Vermögensklassen nichts – trotzdem Wegbereiter der Demokratie. Erkläre.“ Erfüllt, wenn die Antwort den Mechanismus nennt: Mischung der Bürger in neuen Phylen → Gefolgschaft der Adligen zerschlagen → Stimmrecht frei nutzbar.</w:t>
            </w:r>
          </w:p>
          <w:p>
            <w:pPr>
              <w:spacing w:after="80" w:before="0"/>
            </w:pPr>
            <w:r>
              <w:rPr>
                <w:b/>
                <w:bCs/>
                <w:sz w:val="19"/>
                <w:szCs w:val="19"/>
              </w:rPr>
              <w:t xml:space="preserve">Mindestziel:</w:t>
            </w:r>
            <w:r>
              <w:rPr>
                <w:sz w:val="19"/>
                <w:szCs w:val="19"/>
              </w:rPr>
              <w:t xml:space="preserve"> Phylenordnung und ihre Wirkung (Mystery bis zur Lösungskette). Mit *: Schaubild ausführlich, Ostrakismos.</w:t>
            </w:r>
          </w:p>
          <w:p>
            <w:pPr>
              <w:spacing w:after="0" w:before="0"/>
            </w:pPr>
            <w:r>
              <w:rPr>
                <w:b/>
                <w:bCs/>
                <w:sz w:val="19"/>
                <w:szCs w:val="19"/>
              </w:rPr>
              <w:t xml:space="preserve">Beitrag zur Reihe:</w:t>
            </w:r>
            <w:r>
              <w:rPr>
                <w:sz w:val="19"/>
                <w:szCs w:val="19"/>
              </w:rPr>
              <w:t xml:space="preserve"> Solon gab Rechte (timokratisch mit demokratischen Zügen), Peisistratos schwächte den Adel teilweise, Kleisthenes bricht die Bindungen an die Adelsfamilien – Perikles vollendet die Demokratie. Klausur am 25.11.</w:t>
            </w:r>
          </w:p>
        </w:tc>
      </w:tr>
    </w:tbl>
    <w:p>
      <w:pPr>
        <w:spacing w:after="80" w:before="100"/>
      </w:pPr>
      <w:r>
        <w:rPr>
          <w:b/>
          <w:bCs/>
          <w:sz w:val="19"/>
          <w:szCs w:val="19"/>
        </w:rPr>
        <w:t xml:space="preserve">Bezug zur letzten Stunde:</w:t>
      </w:r>
      <w:r>
        <w:rPr>
          <w:sz w:val="19"/>
          <w:szCs w:val="19"/>
        </w:rPr>
        <w:t xml:space="preserve"> Die Leitfrage „Ein Tyrann als Wegbereiter?“ wurde nicht mehr geschafft, und der Abruf aus dem Gedächtnis fehlte – beides steht am Anfang (Fehler-Übersicht zur ganzen Reihe, Wunsch der Lehrkraft). Vorstellen läuft vom Platz aus, du trägst ein (Rückmeldung Peisistratos).</w:t>
      </w:r>
    </w:p>
    <w:p>
      <w:pPr>
        <w:keepNext/>
        <w:spacing w:after="100" w:before="220"/>
      </w:pPr>
      <w:r>
        <w:rPr>
          <w:rFonts w:ascii="Cambria" w:cs="Cambria" w:eastAsia="Cambria" w:hAnsi="Cambria"/>
          <w:b/>
          <w:bCs/>
          <w:color w:val="AD4426"/>
          <w:sz w:val="25"/>
          <w:szCs w:val="25"/>
        </w:rPr>
        <w:t xml:space="preserve">Begriffs-Check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5A5" w:sz="4"/>
              <w:left w:val="single" w:color="BFB5A5" w:sz="4"/>
              <w:bottom w:val="single" w:color="BFB5A5" w:sz="4"/>
              <w:right w:val="single" w:color="BFB5A5" w:sz="4"/>
            </w:tcBorders>
            <w:shd w:fill="2B2318" w:color="auto" w:val="clear"/>
            <w:tcMar>
              <w:top w:type="dxa" w:w="60"/>
              <w:left w:type="dxa" w:w="90"/>
              <w:bottom w:type="dxa" w:w="60"/>
              <w:right w:type="dxa" w:w="90"/>
            </w:tcMar>
          </w:tcPr>
          <w:p>
            <w:pPr>
              <w:spacing w:after="0" w:before="0"/>
            </w:pPr>
            <w:r>
              <w:rPr>
                <w:b/>
                <w:bCs/>
                <w:color w:val="FFFFFF"/>
                <w:sz w:val="17"/>
                <w:szCs w:val="17"/>
              </w:rPr>
              <w:t xml:space="preserve">Begriff</w:t>
            </w:r>
          </w:p>
        </w:tc>
        <w:tc>
          <w:tcPr>
            <w:tcW w:type="dxa" w:w="7038"/>
            <w:tcBorders>
              <w:top w:val="single" w:color="BFB5A5" w:sz="4"/>
              <w:left w:val="single" w:color="BFB5A5" w:sz="4"/>
              <w:bottom w:val="single" w:color="BFB5A5" w:sz="4"/>
              <w:right w:val="single" w:color="BFB5A5" w:sz="4"/>
            </w:tcBorders>
            <w:shd w:fill="2B2318" w:color="auto" w:val="clear"/>
            <w:tcMar>
              <w:top w:type="dxa" w:w="60"/>
              <w:left w:type="dxa" w:w="90"/>
              <w:bottom w:type="dxa" w:w="60"/>
              <w:right w:type="dxa" w:w="90"/>
            </w:tcMar>
          </w:tcPr>
          <w:p>
            <w:pPr>
              <w:spacing w:after="0" w:before="0"/>
            </w:pPr>
            <w:r>
              <w:rPr>
                <w:b/>
                <w:bCs/>
                <w:color w:val="FFFFFF"/>
                <w:sz w:val="17"/>
                <w:szCs w:val="17"/>
              </w:rPr>
              <w:t xml:space="preserve">Status</w:t>
            </w:r>
          </w:p>
        </w:tc>
      </w:tr>
      <w:tr>
        <w:trPr>
          <w:cantSplit/>
        </w:trPr>
        <w:tc>
          <w:tcPr>
            <w:tcW w:type="dxa" w:w="2600"/>
            <w:tcBorders>
              <w:top w:val="single" w:color="BFB5A5" w:sz="4"/>
              <w:left w:val="single" w:color="BFB5A5" w:sz="4"/>
              <w:bottom w:val="single" w:color="BFB5A5" w:sz="4"/>
              <w:right w:val="single" w:color="BFB5A5" w:sz="4"/>
            </w:tcBorders>
            <w:shd w:fill="F4ECDE" w:color="auto" w:val="clear"/>
            <w:tcMar>
              <w:top w:type="dxa" w:w="60"/>
              <w:left w:type="dxa" w:w="90"/>
              <w:bottom w:type="dxa" w:w="60"/>
              <w:right w:type="dxa" w:w="90"/>
            </w:tcMar>
          </w:tcPr>
          <w:p>
            <w:pPr>
              <w:spacing w:after="30" w:before="0"/>
            </w:pPr>
            <w:r>
              <w:rPr>
                <w:sz w:val="17"/>
                <w:szCs w:val="17"/>
              </w:rPr>
              <w:t xml:space="preserve">Phyle</w:t>
            </w:r>
          </w:p>
        </w:tc>
        <w:tc>
          <w:tcPr>
            <w:tcW w:type="dxa" w:w="7038"/>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bekannt (Lückentext Polis, Solon: Rat der 400 aus vier Phylen) – auf Folie 7 erinnert</w:t>
            </w:r>
          </w:p>
        </w:tc>
      </w:tr>
      <w:tr>
        <w:trPr>
          <w:cantSplit/>
        </w:trPr>
        <w:tc>
          <w:tcPr>
            <w:tcW w:type="dxa" w:w="2600"/>
            <w:tcBorders>
              <w:top w:val="single" w:color="BFB5A5" w:sz="4"/>
              <w:left w:val="single" w:color="BFB5A5" w:sz="4"/>
              <w:bottom w:val="single" w:color="BFB5A5" w:sz="4"/>
              <w:right w:val="single" w:color="BFB5A5" w:sz="4"/>
            </w:tcBorders>
            <w:shd w:fill="F4ECDE" w:color="auto" w:val="clear"/>
            <w:tcMar>
              <w:top w:type="dxa" w:w="60"/>
              <w:left w:type="dxa" w:w="90"/>
              <w:bottom w:type="dxa" w:w="60"/>
              <w:right w:type="dxa" w:w="90"/>
            </w:tcMar>
          </w:tcPr>
          <w:p>
            <w:pPr>
              <w:spacing w:after="30" w:before="0"/>
            </w:pPr>
            <w:r>
              <w:rPr>
                <w:sz w:val="17"/>
                <w:szCs w:val="17"/>
              </w:rPr>
              <w:t xml:space="preserve">Demos (Demen), Trittys (Trittyen)</w:t>
            </w:r>
          </w:p>
        </w:tc>
        <w:tc>
          <w:tcPr>
            <w:tcW w:type="dxa" w:w="7038"/>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b/>
                <w:bCs/>
                <w:sz w:val="17"/>
                <w:szCs w:val="17"/>
              </w:rPr>
              <w:t xml:space="preserve">neu</w:t>
            </w:r>
            <w:r>
              <w:rPr>
                <w:sz w:val="17"/>
                <w:szCs w:val="17"/>
              </w:rPr>
              <w:t xml:space="preserve"> – Begriffsfolie 7 vor dem Mystery</w:t>
            </w:r>
          </w:p>
        </w:tc>
      </w:tr>
      <w:tr>
        <w:trPr>
          <w:cantSplit/>
        </w:trPr>
        <w:tc>
          <w:tcPr>
            <w:tcW w:type="dxa" w:w="2600"/>
            <w:tcBorders>
              <w:top w:val="single" w:color="BFB5A5" w:sz="4"/>
              <w:left w:val="single" w:color="BFB5A5" w:sz="4"/>
              <w:bottom w:val="single" w:color="BFB5A5" w:sz="4"/>
              <w:right w:val="single" w:color="BFB5A5" w:sz="4"/>
            </w:tcBorders>
            <w:shd w:fill="F4ECDE" w:color="auto" w:val="clear"/>
            <w:tcMar>
              <w:top w:type="dxa" w:w="60"/>
              <w:left w:type="dxa" w:w="90"/>
              <w:bottom w:type="dxa" w:w="60"/>
              <w:right w:type="dxa" w:w="90"/>
            </w:tcMar>
          </w:tcPr>
          <w:p>
            <w:pPr>
              <w:spacing w:after="30" w:before="0"/>
            </w:pPr>
            <w:r>
              <w:rPr>
                <w:sz w:val="17"/>
                <w:szCs w:val="17"/>
              </w:rPr>
              <w:t xml:space="preserve">Rat der 500, Ostrakismos</w:t>
            </w:r>
          </w:p>
        </w:tc>
        <w:tc>
          <w:tcPr>
            <w:tcW w:type="dxa" w:w="7038"/>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neu, aber in den Abschnitten erklärt</w:t>
            </w:r>
          </w:p>
        </w:tc>
      </w:tr>
      <w:tr>
        <w:trPr>
          <w:cantSplit/>
        </w:trPr>
        <w:tc>
          <w:tcPr>
            <w:tcW w:type="dxa" w:w="2600"/>
            <w:tcBorders>
              <w:top w:val="single" w:color="BFB5A5" w:sz="4"/>
              <w:left w:val="single" w:color="BFB5A5" w:sz="4"/>
              <w:bottom w:val="single" w:color="BFB5A5" w:sz="4"/>
              <w:right w:val="single" w:color="BFB5A5" w:sz="4"/>
            </w:tcBorders>
            <w:shd w:fill="F4ECDE" w:color="auto" w:val="clear"/>
            <w:tcMar>
              <w:top w:type="dxa" w:w="60"/>
              <w:left w:type="dxa" w:w="90"/>
              <w:bottom w:type="dxa" w:w="60"/>
              <w:right w:type="dxa" w:w="90"/>
            </w:tcMar>
          </w:tcPr>
          <w:p>
            <w:pPr>
              <w:spacing w:after="30" w:before="0"/>
            </w:pPr>
            <w:r>
              <w:rPr>
                <w:sz w:val="17"/>
                <w:szCs w:val="17"/>
              </w:rPr>
              <w:t xml:space="preserve">Tyrannis, Alkmeoniden, Akropolis, Vermögensklassen</w:t>
            </w:r>
          </w:p>
        </w:tc>
        <w:tc>
          <w:tcPr>
            <w:tcW w:type="dxa" w:w="7038"/>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bekannt aus den letzten Stunden</w:t>
            </w:r>
          </w:p>
        </w:tc>
      </w:tr>
    </w:tbl>
    <w:p>
      <w:pPr>
        <w:keepNext/>
        <w:spacing w:after="100" w:before="220"/>
      </w:pPr>
      <w:r>
        <w:rPr>
          <w:rFonts w:ascii="Cambria" w:cs="Cambria" w:eastAsia="Cambria" w:hAnsi="Cambria"/>
          <w:b/>
          <w:bCs/>
          <w:color w:val="AD4426"/>
          <w:sz w:val="25"/>
          <w:szCs w:val="25"/>
        </w:rPr>
        <w:t xml:space="preserve">1. Druckliste und Vorbereitung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4638"/>
      </w:tblGrid>
      <w:tr>
        <w:trPr>
          <w:tblHeader/>
        </w:trPr>
        <w:tc>
          <w:tcPr>
            <w:tcW w:type="dxa" w:w="2900"/>
            <w:tcBorders>
              <w:top w:val="single" w:color="BFB5A5" w:sz="4"/>
              <w:left w:val="single" w:color="BFB5A5" w:sz="4"/>
              <w:bottom w:val="single" w:color="BFB5A5" w:sz="4"/>
              <w:right w:val="single" w:color="BFB5A5" w:sz="4"/>
            </w:tcBorders>
            <w:shd w:fill="2B2318" w:color="auto" w:val="clear"/>
            <w:tcMar>
              <w:top w:type="dxa" w:w="60"/>
              <w:left w:type="dxa" w:w="90"/>
              <w:bottom w:type="dxa" w:w="60"/>
              <w:right w:type="dxa" w:w="90"/>
            </w:tcMar>
          </w:tcPr>
          <w:p>
            <w:pPr>
              <w:spacing w:after="0" w:before="0"/>
            </w:pPr>
            <w:r>
              <w:rPr>
                <w:b/>
                <w:bCs/>
                <w:color w:val="FFFFFF"/>
                <w:sz w:val="17"/>
                <w:szCs w:val="17"/>
              </w:rPr>
              <w:t xml:space="preserve">Material</w:t>
            </w:r>
          </w:p>
        </w:tc>
        <w:tc>
          <w:tcPr>
            <w:tcW w:type="dxa" w:w="2100"/>
            <w:tcBorders>
              <w:top w:val="single" w:color="BFB5A5" w:sz="4"/>
              <w:left w:val="single" w:color="BFB5A5" w:sz="4"/>
              <w:bottom w:val="single" w:color="BFB5A5" w:sz="4"/>
              <w:right w:val="single" w:color="BFB5A5" w:sz="4"/>
            </w:tcBorders>
            <w:shd w:fill="2B2318" w:color="auto" w:val="clear"/>
            <w:tcMar>
              <w:top w:type="dxa" w:w="60"/>
              <w:left w:type="dxa" w:w="90"/>
              <w:bottom w:type="dxa" w:w="60"/>
              <w:right w:type="dxa" w:w="90"/>
            </w:tcMar>
          </w:tcPr>
          <w:p>
            <w:pPr>
              <w:spacing w:after="0" w:before="0"/>
            </w:pPr>
            <w:r>
              <w:rPr>
                <w:b/>
                <w:bCs/>
                <w:color w:val="FFFFFF"/>
                <w:sz w:val="17"/>
                <w:szCs w:val="17"/>
              </w:rPr>
              <w:t xml:space="preserve">Menge</w:t>
            </w:r>
          </w:p>
        </w:tc>
        <w:tc>
          <w:tcPr>
            <w:tcW w:type="dxa" w:w="4638"/>
            <w:tcBorders>
              <w:top w:val="single" w:color="BFB5A5" w:sz="4"/>
              <w:left w:val="single" w:color="BFB5A5" w:sz="4"/>
              <w:bottom w:val="single" w:color="BFB5A5" w:sz="4"/>
              <w:right w:val="single" w:color="BFB5A5" w:sz="4"/>
            </w:tcBorders>
            <w:shd w:fill="2B2318" w:color="auto" w:val="clear"/>
            <w:tcMar>
              <w:top w:type="dxa" w:w="60"/>
              <w:left w:type="dxa" w:w="90"/>
              <w:bottom w:type="dxa" w:w="60"/>
              <w:right w:type="dxa" w:w="90"/>
            </w:tcMar>
          </w:tcPr>
          <w:p>
            <w:pPr>
              <w:spacing w:after="0" w:before="0"/>
            </w:pPr>
            <w:r>
              <w:rPr>
                <w:b/>
                <w:bCs/>
                <w:color w:val="FFFFFF"/>
                <w:sz w:val="17"/>
                <w:szCs w:val="17"/>
              </w:rPr>
              <w:t xml:space="preserve">Hinweis</w:t>
            </w:r>
          </w:p>
        </w:tc>
      </w:tr>
      <w:tr>
        <w:trPr>
          <w:cantSplit/>
        </w:trPr>
        <w:tc>
          <w:tcPr>
            <w:tcW w:type="dxa" w:w="29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b/>
                <w:bCs/>
                <w:sz w:val="17"/>
                <w:szCs w:val="17"/>
              </w:rPr>
              <w:t xml:space="preserve">Mystery-Abschnitte</w:t>
            </w:r>
          </w:p>
          <w:p>
            <w:pPr>
              <w:spacing w:after="30" w:before="0"/>
            </w:pPr>
            <w:r>
              <w:rPr>
                <w:sz w:val="17"/>
                <w:szCs w:val="17"/>
              </w:rPr>
              <w:t xml:space="preserve">Mystery_Schnipsel_und_Hilfen.docx, Seite 1</w:t>
            </w:r>
          </w:p>
        </w:tc>
        <w:tc>
          <w:tcPr>
            <w:tcW w:type="dxa" w:w="21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1 Blatt pro Dreiergruppe (ca. 6)</w:t>
            </w:r>
          </w:p>
        </w:tc>
        <w:tc>
          <w:tcPr>
            <w:tcW w:type="dxa" w:w="4638"/>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8 Abschnitte mit Überschrift, gemischt nummeriert; unten 8 Verbindungswörter zum Abstreichen. Die Gruppen schneiden selbst (oder vorab schneiden und in Umschläge stecken, spart 2 Min.).</w:t>
            </w:r>
          </w:p>
        </w:tc>
      </w:tr>
      <w:tr>
        <w:trPr>
          <w:cantSplit/>
        </w:trPr>
        <w:tc>
          <w:tcPr>
            <w:tcW w:type="dxa" w:w="29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b/>
                <w:bCs/>
                <w:sz w:val="17"/>
                <w:szCs w:val="17"/>
              </w:rPr>
              <w:t xml:space="preserve">Gestufte Hilfen</w:t>
            </w:r>
          </w:p>
          <w:p>
            <w:pPr>
              <w:spacing w:after="30" w:before="0"/>
            </w:pPr>
            <w:r>
              <w:rPr>
                <w:sz w:val="17"/>
                <w:szCs w:val="17"/>
              </w:rPr>
              <w:t xml:space="preserve">dieselbe Datei, Seite 2</w:t>
            </w:r>
          </w:p>
        </w:tc>
        <w:tc>
          <w:tcPr>
            <w:tcW w:type="dxa" w:w="21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1–2 ×</w:t>
            </w:r>
          </w:p>
        </w:tc>
        <w:tc>
          <w:tcPr>
            <w:tcW w:type="dxa" w:w="4638"/>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Schneiden, am Pult auslegen.</w:t>
            </w:r>
          </w:p>
        </w:tc>
      </w:tr>
      <w:tr>
        <w:trPr>
          <w:cantSplit/>
        </w:trPr>
        <w:tc>
          <w:tcPr>
            <w:tcW w:type="dxa" w:w="29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b/>
                <w:bCs/>
                <w:sz w:val="17"/>
                <w:szCs w:val="17"/>
              </w:rPr>
              <w:t xml:space="preserve">Lösung: Abschnitte in Verbindung</w:t>
            </w:r>
          </w:p>
          <w:p>
            <w:pPr>
              <w:spacing w:after="30" w:before="0"/>
            </w:pPr>
            <w:r>
              <w:rPr>
                <w:sz w:val="17"/>
                <w:szCs w:val="17"/>
              </w:rPr>
              <w:t xml:space="preserve">Mystery_Loesung_Verbindungen.docx</w:t>
            </w:r>
          </w:p>
        </w:tc>
        <w:tc>
          <w:tcPr>
            <w:tcW w:type="dxa" w:w="21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1 × (Lehrkraft)</w:t>
            </w:r>
          </w:p>
        </w:tc>
        <w:tc>
          <w:tcPr>
            <w:tcW w:type="dxa" w:w="4638"/>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Am Pult; zum Vergleichen auch projizierbar.</w:t>
            </w:r>
          </w:p>
        </w:tc>
      </w:tr>
      <w:tr>
        <w:trPr>
          <w:cantSplit/>
        </w:trPr>
        <w:tc>
          <w:tcPr>
            <w:tcW w:type="dxa" w:w="29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Scheren</w:t>
            </w:r>
          </w:p>
        </w:tc>
        <w:tc>
          <w:tcPr>
            <w:tcW w:type="dxa" w:w="21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1 pro Gruppe</w:t>
            </w:r>
          </w:p>
        </w:tc>
        <w:tc>
          <w:tcPr>
            <w:tcW w:type="dxa" w:w="4638"/>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Falls die Gruppen selbst schneiden.</w:t>
            </w:r>
          </w:p>
        </w:tc>
      </w:tr>
    </w:tbl>
    <w:p>
      <w:pPr>
        <w:spacing w:after="50" w:before="0"/>
      </w:pPr>
      <w:r>
        <w:rPr>
          <w:sz w:val="19"/>
          <w:szCs w:val="19"/>
        </w:rPr>
        <w:t xml:space="preserve">☐  Seitentafel: Ziel und Ablauf (wie Folie 2).</w:t>
      </w:r>
    </w:p>
    <w:p>
      <w:pPr>
        <w:spacing w:after="50" w:before="0"/>
      </w:pPr>
      <w:r>
        <w:rPr>
          <w:sz w:val="19"/>
          <w:szCs w:val="19"/>
        </w:rPr>
        <w:t xml:space="preserve">☐  Hauptfläche frei lassen für die Erklärungskette (Folie 10) und die Phylen-Skizze (Folie 11).</w:t>
      </w:r>
    </w:p>
    <w:p>
      <w:pPr>
        <w:keepNext/>
        <w:spacing w:after="100" w:before="220"/>
      </w:pPr>
      <w:r>
        <w:rPr>
          <w:rFonts w:ascii="Cambria" w:cs="Cambria" w:eastAsia="Cambria" w:hAnsi="Cambria"/>
          <w:b/>
          <w:bCs/>
          <w:color w:val="AD4426"/>
          <w:sz w:val="25"/>
          <w:szCs w:val="25"/>
        </w:rPr>
        <w:t xml:space="preserve">2. Verlauf nach AVIVA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300"/>
        <w:gridCol w:w="2338"/>
        <w:gridCol w:w="1100"/>
        <w:gridCol w:w="800"/>
      </w:tblGrid>
      <w:tr>
        <w:trPr>
          <w:tblHeader/>
        </w:trPr>
        <w:tc>
          <w:tcPr>
            <w:tcW w:type="dxa" w:w="700"/>
            <w:tcBorders>
              <w:top w:val="single" w:color="BFB5A5" w:sz="4"/>
              <w:left w:val="single" w:color="BFB5A5" w:sz="4"/>
              <w:bottom w:val="single" w:color="BFB5A5" w:sz="4"/>
              <w:right w:val="single" w:color="BFB5A5" w:sz="4"/>
            </w:tcBorders>
            <w:shd w:fill="2B2318" w:color="auto" w:val="clear"/>
            <w:tcMar>
              <w:top w:type="dxa" w:w="60"/>
              <w:left w:type="dxa" w:w="90"/>
              <w:bottom w:type="dxa" w:w="60"/>
              <w:right w:type="dxa" w:w="90"/>
            </w:tcMar>
          </w:tcPr>
          <w:p>
            <w:pPr>
              <w:spacing w:after="0" w:before="0"/>
            </w:pPr>
            <w:r>
              <w:rPr>
                <w:b/>
                <w:bCs/>
                <w:color w:val="FFFFFF"/>
                <w:sz w:val="17"/>
                <w:szCs w:val="17"/>
              </w:rPr>
              <w:t xml:space="preserve">Zeit</w:t>
            </w:r>
          </w:p>
        </w:tc>
        <w:tc>
          <w:tcPr>
            <w:tcW w:type="dxa" w:w="1400"/>
            <w:tcBorders>
              <w:top w:val="single" w:color="BFB5A5" w:sz="4"/>
              <w:left w:val="single" w:color="BFB5A5" w:sz="4"/>
              <w:bottom w:val="single" w:color="BFB5A5" w:sz="4"/>
              <w:right w:val="single" w:color="BFB5A5" w:sz="4"/>
            </w:tcBorders>
            <w:shd w:fill="2B2318" w:color="auto" w:val="clear"/>
            <w:tcMar>
              <w:top w:type="dxa" w:w="60"/>
              <w:left w:type="dxa" w:w="90"/>
              <w:bottom w:type="dxa" w:w="60"/>
              <w:right w:type="dxa" w:w="90"/>
            </w:tcMar>
          </w:tcPr>
          <w:p>
            <w:pPr>
              <w:spacing w:after="0" w:before="0"/>
            </w:pPr>
            <w:r>
              <w:rPr>
                <w:b/>
                <w:bCs/>
                <w:color w:val="FFFFFF"/>
                <w:sz w:val="17"/>
                <w:szCs w:val="17"/>
              </w:rPr>
              <w:t xml:space="preserve">Phase</w:t>
            </w:r>
          </w:p>
        </w:tc>
        <w:tc>
          <w:tcPr>
            <w:tcW w:type="dxa" w:w="3300"/>
            <w:tcBorders>
              <w:top w:val="single" w:color="BFB5A5" w:sz="4"/>
              <w:left w:val="single" w:color="BFB5A5" w:sz="4"/>
              <w:bottom w:val="single" w:color="BFB5A5" w:sz="4"/>
              <w:right w:val="single" w:color="BFB5A5" w:sz="4"/>
            </w:tcBorders>
            <w:shd w:fill="2B2318" w:color="auto" w:val="clear"/>
            <w:tcMar>
              <w:top w:type="dxa" w:w="60"/>
              <w:left w:type="dxa" w:w="90"/>
              <w:bottom w:type="dxa" w:w="60"/>
              <w:right w:type="dxa" w:w="90"/>
            </w:tcMar>
          </w:tcPr>
          <w:p>
            <w:pPr>
              <w:spacing w:after="0" w:before="0"/>
            </w:pPr>
            <w:r>
              <w:rPr>
                <w:b/>
                <w:bCs/>
                <w:color w:val="FFFFFF"/>
                <w:sz w:val="17"/>
                <w:szCs w:val="17"/>
              </w:rPr>
              <w:t xml:space="preserve">Ablauf</w:t>
            </w:r>
          </w:p>
        </w:tc>
        <w:tc>
          <w:tcPr>
            <w:tcW w:type="dxa" w:w="2338"/>
            <w:tcBorders>
              <w:top w:val="single" w:color="BFB5A5" w:sz="4"/>
              <w:left w:val="single" w:color="BFB5A5" w:sz="4"/>
              <w:bottom w:val="single" w:color="BFB5A5" w:sz="4"/>
              <w:right w:val="single" w:color="BFB5A5" w:sz="4"/>
            </w:tcBorders>
            <w:shd w:fill="2B2318" w:color="auto" w:val="clear"/>
            <w:tcMar>
              <w:top w:type="dxa" w:w="60"/>
              <w:left w:type="dxa" w:w="90"/>
              <w:bottom w:type="dxa" w:w="60"/>
              <w:right w:type="dxa" w:w="90"/>
            </w:tcMar>
          </w:tcPr>
          <w:p>
            <w:pPr>
              <w:spacing w:after="0" w:before="0"/>
            </w:pPr>
            <w:r>
              <w:rPr>
                <w:b/>
                <w:bCs/>
                <w:color w:val="FFFFFF"/>
                <w:sz w:val="17"/>
                <w:szCs w:val="17"/>
              </w:rPr>
              <w:t xml:space="preserve">Warum</w:t>
            </w:r>
          </w:p>
        </w:tc>
        <w:tc>
          <w:tcPr>
            <w:tcW w:type="dxa" w:w="1100"/>
            <w:tcBorders>
              <w:top w:val="single" w:color="BFB5A5" w:sz="4"/>
              <w:left w:val="single" w:color="BFB5A5" w:sz="4"/>
              <w:bottom w:val="single" w:color="BFB5A5" w:sz="4"/>
              <w:right w:val="single" w:color="BFB5A5" w:sz="4"/>
            </w:tcBorders>
            <w:shd w:fill="2B2318" w:color="auto" w:val="clear"/>
            <w:tcMar>
              <w:top w:type="dxa" w:w="60"/>
              <w:left w:type="dxa" w:w="90"/>
              <w:bottom w:type="dxa" w:w="60"/>
              <w:right w:type="dxa" w:w="90"/>
            </w:tcMar>
          </w:tcPr>
          <w:p>
            <w:pPr>
              <w:spacing w:after="0" w:before="0"/>
            </w:pPr>
            <w:r>
              <w:rPr>
                <w:b/>
                <w:bCs/>
                <w:color w:val="FFFFFF"/>
                <w:sz w:val="17"/>
                <w:szCs w:val="17"/>
              </w:rPr>
              <w:t xml:space="preserve">Form</w:t>
            </w:r>
          </w:p>
        </w:tc>
        <w:tc>
          <w:tcPr>
            <w:tcW w:type="dxa" w:w="800"/>
            <w:tcBorders>
              <w:top w:val="single" w:color="BFB5A5" w:sz="4"/>
              <w:left w:val="single" w:color="BFB5A5" w:sz="4"/>
              <w:bottom w:val="single" w:color="BFB5A5" w:sz="4"/>
              <w:right w:val="single" w:color="BFB5A5" w:sz="4"/>
            </w:tcBorders>
            <w:shd w:fill="2B2318" w:color="auto" w:val="clear"/>
            <w:tcMar>
              <w:top w:type="dxa" w:w="60"/>
              <w:left w:type="dxa" w:w="90"/>
              <w:bottom w:type="dxa" w:w="60"/>
              <w:right w:type="dxa" w:w="90"/>
            </w:tcMar>
          </w:tcPr>
          <w:p>
            <w:pPr>
              <w:spacing w:after="0" w:before="0"/>
            </w:pPr>
            <w:r>
              <w:rPr>
                <w:b/>
                <w:bCs/>
                <w:color w:val="FFFFFF"/>
                <w:sz w:val="17"/>
                <w:szCs w:val="17"/>
              </w:rPr>
              <w:t xml:space="preserve">Folie</w:t>
            </w:r>
          </w:p>
        </w:tc>
      </w:tr>
      <w:tr>
        <w:trPr>
          <w:cantSplit/>
        </w:trPr>
        <w:tc>
          <w:tcPr>
            <w:tcW w:type="dxa" w:w="700"/>
            <w:tcBorders>
              <w:top w:val="single" w:color="BFB5A5" w:sz="4"/>
              <w:left w:val="single" w:color="BFB5A5" w:sz="4"/>
              <w:bottom w:val="single" w:color="BFB5A5" w:sz="4"/>
              <w:right w:val="single" w:color="BFB5A5" w:sz="4"/>
            </w:tcBorders>
            <w:shd w:fill="F4ECDE" w:color="auto" w:val="clear"/>
            <w:tcMar>
              <w:top w:type="dxa" w:w="60"/>
              <w:left w:type="dxa" w:w="90"/>
              <w:bottom w:type="dxa" w:w="60"/>
              <w:right w:type="dxa" w:w="90"/>
            </w:tcMar>
          </w:tcPr>
          <w:p>
            <w:pPr>
              <w:spacing w:after="0" w:before="0"/>
            </w:pPr>
            <w:r>
              <w:rPr>
                <w:sz w:val="16"/>
                <w:szCs w:val="16"/>
              </w:rPr>
              <w:t xml:space="preserve">0–2</w:t>
            </w:r>
          </w:p>
        </w:tc>
        <w:tc>
          <w:tcPr>
            <w:tcW w:type="dxa" w:w="14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b/>
                <w:bCs/>
                <w:sz w:val="16"/>
                <w:szCs w:val="16"/>
              </w:rPr>
              <w:t xml:space="preserve">A</w:t>
            </w:r>
            <w:r>
              <w:rPr>
                <w:sz w:val="16"/>
                <w:szCs w:val="16"/>
              </w:rPr>
              <w:t xml:space="preserve"> Ankommen</w:t>
            </w:r>
          </w:p>
        </w:tc>
        <w:tc>
          <w:tcPr>
            <w:tcW w:type="dxa" w:w="33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Ziel und Ablauf (Seitentafel + Folie). „Heute klären wir, wie Kleisthenes die Macht der Adelsfamilien brach – ohne ihnen Land wegzunehmen.“</w:t>
            </w:r>
          </w:p>
        </w:tc>
        <w:tc>
          <w:tcPr>
            <w:tcW w:type="dxa" w:w="2338"/>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Transparenz: Die Klasse weiß, worauf alles hinausläuft (direkt).</w:t>
            </w:r>
          </w:p>
        </w:tc>
        <w:tc>
          <w:tcPr>
            <w:tcW w:type="dxa" w:w="11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Plenum</w:t>
            </w:r>
          </w:p>
        </w:tc>
        <w:tc>
          <w:tcPr>
            <w:tcW w:type="dxa" w:w="8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1–2</w:t>
            </w:r>
          </w:p>
        </w:tc>
      </w:tr>
      <w:tr>
        <w:trPr>
          <w:cantSplit/>
        </w:trPr>
        <w:tc>
          <w:tcPr>
            <w:tcW w:type="dxa" w:w="700"/>
            <w:tcBorders>
              <w:top w:val="single" w:color="BFB5A5" w:sz="4"/>
              <w:left w:val="single" w:color="BFB5A5" w:sz="4"/>
              <w:bottom w:val="single" w:color="BFB5A5" w:sz="4"/>
              <w:right w:val="single" w:color="BFB5A5" w:sz="4"/>
            </w:tcBorders>
            <w:shd w:fill="F4ECDE" w:color="auto" w:val="clear"/>
            <w:tcMar>
              <w:top w:type="dxa" w:w="60"/>
              <w:left w:type="dxa" w:w="90"/>
              <w:bottom w:type="dxa" w:w="60"/>
              <w:right w:type="dxa" w:w="90"/>
            </w:tcMar>
          </w:tcPr>
          <w:p>
            <w:pPr>
              <w:spacing w:after="0" w:before="0"/>
            </w:pPr>
            <w:r>
              <w:rPr>
                <w:sz w:val="16"/>
                <w:szCs w:val="16"/>
              </w:rPr>
              <w:t xml:space="preserve">2–7</w:t>
            </w:r>
          </w:p>
        </w:tc>
        <w:tc>
          <w:tcPr>
            <w:tcW w:type="dxa" w:w="14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b/>
                <w:bCs/>
                <w:sz w:val="16"/>
                <w:szCs w:val="16"/>
              </w:rPr>
              <w:t xml:space="preserve">V</w:t>
            </w:r>
            <w:r>
              <w:rPr>
                <w:sz w:val="16"/>
                <w:szCs w:val="16"/>
              </w:rPr>
              <w:t xml:space="preserve"> Wiederholung</w:t>
            </w:r>
          </w:p>
        </w:tc>
        <w:tc>
          <w:tcPr>
            <w:tcW w:type="dxa" w:w="33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Fehler-Übersicht zu Herrschaftsformen und Protagonisten (Aristokratie, Drakon, Solon, Peisistratos): allein 6 Fehler finden und im Heft berichtigen (2), Partnercheck (1), Stichproben bei 4–6 Schülern (2).</w:t>
            </w:r>
          </w:p>
        </w:tc>
        <w:tc>
          <w:tcPr>
            <w:tcW w:type="dxa" w:w="2338"/>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Abruf aus dem Gedächtnis über die ganze Reihe (Klausur!) und Fehleranalyse statt Abfrage (direkt).</w:t>
            </w:r>
          </w:p>
        </w:tc>
        <w:tc>
          <w:tcPr>
            <w:tcW w:type="dxa" w:w="11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EA → PA → Stichproben</w:t>
            </w:r>
          </w:p>
        </w:tc>
        <w:tc>
          <w:tcPr>
            <w:tcW w:type="dxa" w:w="8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3</w:t>
            </w:r>
          </w:p>
        </w:tc>
      </w:tr>
      <w:tr>
        <w:trPr>
          <w:cantSplit/>
        </w:trPr>
        <w:tc>
          <w:tcPr>
            <w:tcW w:type="dxa" w:w="700"/>
            <w:tcBorders>
              <w:top w:val="single" w:color="BFB5A5" w:sz="4"/>
              <w:left w:val="single" w:color="BFB5A5" w:sz="4"/>
              <w:bottom w:val="single" w:color="BFB5A5" w:sz="4"/>
              <w:right w:val="single" w:color="BFB5A5" w:sz="4"/>
            </w:tcBorders>
            <w:shd w:fill="F4ECDE" w:color="auto" w:val="clear"/>
            <w:tcMar>
              <w:top w:type="dxa" w:w="60"/>
              <w:left w:type="dxa" w:w="90"/>
              <w:bottom w:type="dxa" w:w="60"/>
              <w:right w:type="dxa" w:w="90"/>
            </w:tcMar>
          </w:tcPr>
          <w:p>
            <w:pPr>
              <w:spacing w:after="0" w:before="0"/>
            </w:pPr>
            <w:r>
              <w:rPr>
                <w:sz w:val="16"/>
                <w:szCs w:val="16"/>
              </w:rPr>
              <w:t xml:space="preserve">7–9</w:t>
            </w:r>
          </w:p>
        </w:tc>
        <w:tc>
          <w:tcPr>
            <w:tcW w:type="dxa" w:w="14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b/>
                <w:bCs/>
                <w:sz w:val="16"/>
                <w:szCs w:val="16"/>
              </w:rPr>
              <w:t xml:space="preserve">V</w:t>
            </w:r>
            <w:r>
              <w:rPr>
                <w:sz w:val="16"/>
                <w:szCs w:val="16"/>
              </w:rPr>
              <w:t xml:space="preserve"> Lösung + Leitfrage</w:t>
            </w:r>
          </w:p>
        </w:tc>
        <w:tc>
          <w:tcPr>
            <w:tcW w:type="dxa" w:w="33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Lösungsfolie, Fehler grün verbessern. Dann die offene Leitfrage „Peisistratos – Wegbereiter der Demokratie?“: zwei Schüler antworten in einem Satz, danach der Satz unten auf der Folie.</w:t>
            </w:r>
          </w:p>
        </w:tc>
        <w:tc>
          <w:tcPr>
            <w:tcW w:type="dxa" w:w="2338"/>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Offene Frage der letzten Stunde schließen; das „Aber“ (Adel bestimmt weiter über seine Anhänger) ist die Gelenkstelle zu heute.</w:t>
            </w:r>
          </w:p>
        </w:tc>
        <w:tc>
          <w:tcPr>
            <w:tcW w:type="dxa" w:w="11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EA, Stichproben</w:t>
            </w:r>
          </w:p>
        </w:tc>
        <w:tc>
          <w:tcPr>
            <w:tcW w:type="dxa" w:w="8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4</w:t>
            </w:r>
          </w:p>
        </w:tc>
      </w:tr>
      <w:tr>
        <w:trPr>
          <w:cantSplit/>
        </w:trPr>
        <w:tc>
          <w:tcPr>
            <w:tcW w:type="dxa" w:w="700"/>
            <w:tcBorders>
              <w:top w:val="single" w:color="BFB5A5" w:sz="4"/>
              <w:left w:val="single" w:color="BFB5A5" w:sz="4"/>
              <w:bottom w:val="single" w:color="BFB5A5" w:sz="4"/>
              <w:right w:val="single" w:color="BFB5A5" w:sz="4"/>
            </w:tcBorders>
            <w:shd w:fill="F4ECDE" w:color="auto" w:val="clear"/>
            <w:tcMar>
              <w:top w:type="dxa" w:w="60"/>
              <w:left w:type="dxa" w:w="90"/>
              <w:bottom w:type="dxa" w:w="60"/>
              <w:right w:type="dxa" w:w="90"/>
            </w:tcMar>
          </w:tcPr>
          <w:p>
            <w:pPr>
              <w:spacing w:after="0" w:before="0"/>
            </w:pPr>
            <w:r>
              <w:rPr>
                <w:sz w:val="16"/>
                <w:szCs w:val="16"/>
              </w:rPr>
              <w:t xml:space="preserve">9–10</w:t>
            </w:r>
          </w:p>
        </w:tc>
        <w:tc>
          <w:tcPr>
            <w:tcW w:type="dxa" w:w="14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b/>
                <w:bCs/>
                <w:sz w:val="16"/>
                <w:szCs w:val="16"/>
              </w:rPr>
              <w:t xml:space="preserve">V→I</w:t>
            </w:r>
            <w:r>
              <w:rPr>
                <w:sz w:val="16"/>
                <w:szCs w:val="16"/>
              </w:rPr>
              <w:t xml:space="preserve"> Gelenkstelle</w:t>
            </w:r>
          </w:p>
        </w:tc>
        <w:tc>
          <w:tcPr>
            <w:tcW w:type="dxa" w:w="33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Sturz der Tyrannis 514/510 kurz erzählen. „Jetzt kämpfen wieder die Adelsfamilien – wie kann man ihre Macht brechen, ohne Land zu nehmen?“</w:t>
            </w:r>
          </w:p>
        </w:tc>
        <w:tc>
          <w:tcPr>
            <w:tcW w:type="dxa" w:w="2338"/>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Inhaltliche Brücke vom Sturz zur Reform (direkt).</w:t>
            </w:r>
          </w:p>
        </w:tc>
        <w:tc>
          <w:tcPr>
            <w:tcW w:type="dxa" w:w="11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Lehrkraft</w:t>
            </w:r>
          </w:p>
        </w:tc>
        <w:tc>
          <w:tcPr>
            <w:tcW w:type="dxa" w:w="8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5</w:t>
            </w:r>
          </w:p>
        </w:tc>
      </w:tr>
      <w:tr>
        <w:trPr>
          <w:cantSplit/>
        </w:trPr>
        <w:tc>
          <w:tcPr>
            <w:tcW w:type="dxa" w:w="700"/>
            <w:tcBorders>
              <w:top w:val="single" w:color="BFB5A5" w:sz="4"/>
              <w:left w:val="single" w:color="BFB5A5" w:sz="4"/>
              <w:bottom w:val="single" w:color="BFB5A5" w:sz="4"/>
              <w:right w:val="single" w:color="BFB5A5" w:sz="4"/>
            </w:tcBorders>
            <w:shd w:fill="F4ECDE" w:color="auto" w:val="clear"/>
            <w:tcMar>
              <w:top w:type="dxa" w:w="60"/>
              <w:left w:type="dxa" w:w="90"/>
              <w:bottom w:type="dxa" w:w="60"/>
              <w:right w:type="dxa" w:w="90"/>
            </w:tcMar>
          </w:tcPr>
          <w:p>
            <w:pPr>
              <w:spacing w:after="0" w:before="0"/>
            </w:pPr>
            <w:r>
              <w:rPr>
                <w:sz w:val="16"/>
                <w:szCs w:val="16"/>
              </w:rPr>
              <w:t xml:space="preserve">10–11</w:t>
            </w:r>
          </w:p>
        </w:tc>
        <w:tc>
          <w:tcPr>
            <w:tcW w:type="dxa" w:w="14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b/>
                <w:bCs/>
                <w:sz w:val="16"/>
                <w:szCs w:val="16"/>
              </w:rPr>
              <w:t xml:space="preserve">I</w:t>
            </w:r>
            <w:r>
              <w:rPr>
                <w:sz w:val="16"/>
                <w:szCs w:val="16"/>
              </w:rPr>
              <w:t xml:space="preserve"> Rätsel</w:t>
            </w:r>
          </w:p>
        </w:tc>
        <w:tc>
          <w:tcPr>
            <w:tcW w:type="dxa" w:w="33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Mystery-Frage vorlesen, jeder schreibt eine Vermutung ins Heft.</w:t>
            </w:r>
          </w:p>
        </w:tc>
        <w:tc>
          <w:tcPr>
            <w:tcW w:type="dxa" w:w="2338"/>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Festlegen für den Aha-Moment; Leitfrage der Stunde.</w:t>
            </w:r>
          </w:p>
        </w:tc>
        <w:tc>
          <w:tcPr>
            <w:tcW w:type="dxa" w:w="11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EA</w:t>
            </w:r>
          </w:p>
        </w:tc>
        <w:tc>
          <w:tcPr>
            <w:tcW w:type="dxa" w:w="8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6</w:t>
            </w:r>
          </w:p>
        </w:tc>
      </w:tr>
      <w:tr>
        <w:trPr>
          <w:cantSplit/>
        </w:trPr>
        <w:tc>
          <w:tcPr>
            <w:tcW w:type="dxa" w:w="700"/>
            <w:tcBorders>
              <w:top w:val="single" w:color="BFB5A5" w:sz="4"/>
              <w:left w:val="single" w:color="BFB5A5" w:sz="4"/>
              <w:bottom w:val="single" w:color="BFB5A5" w:sz="4"/>
              <w:right w:val="single" w:color="BFB5A5" w:sz="4"/>
            </w:tcBorders>
            <w:shd w:fill="F4ECDE" w:color="auto" w:val="clear"/>
            <w:tcMar>
              <w:top w:type="dxa" w:w="60"/>
              <w:left w:type="dxa" w:w="90"/>
              <w:bottom w:type="dxa" w:w="60"/>
              <w:right w:type="dxa" w:w="90"/>
            </w:tcMar>
          </w:tcPr>
          <w:p>
            <w:pPr>
              <w:spacing w:after="0" w:before="0"/>
            </w:pPr>
            <w:r>
              <w:rPr>
                <w:sz w:val="16"/>
                <w:szCs w:val="16"/>
              </w:rPr>
              <w:t xml:space="preserve">11–13</w:t>
            </w:r>
          </w:p>
        </w:tc>
        <w:tc>
          <w:tcPr>
            <w:tcW w:type="dxa" w:w="14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b/>
                <w:bCs/>
                <w:sz w:val="16"/>
                <w:szCs w:val="16"/>
              </w:rPr>
              <w:t xml:space="preserve">I</w:t>
            </w:r>
            <w:r>
              <w:rPr>
                <w:sz w:val="16"/>
                <w:szCs w:val="16"/>
              </w:rPr>
              <w:t xml:space="preserve"> Begriffe</w:t>
            </w:r>
          </w:p>
        </w:tc>
        <w:tc>
          <w:tcPr>
            <w:tcW w:type="dxa" w:w="33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Demos und Trittys (Phyle ist bekannt). Prüffrage: „Was ist größer – Demos oder Trittys?“</w:t>
            </w:r>
          </w:p>
        </w:tc>
        <w:tc>
          <w:tcPr>
            <w:tcW w:type="dxa" w:w="2338"/>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Begriffs-Check: Ohne die Begriffe sind die Abschnitte nicht lesbar (direkt).</w:t>
            </w:r>
          </w:p>
        </w:tc>
        <w:tc>
          <w:tcPr>
            <w:tcW w:type="dxa" w:w="11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Plenum, Stichproben</w:t>
            </w:r>
          </w:p>
        </w:tc>
        <w:tc>
          <w:tcPr>
            <w:tcW w:type="dxa" w:w="8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7</w:t>
            </w:r>
          </w:p>
        </w:tc>
      </w:tr>
      <w:tr>
        <w:trPr>
          <w:cantSplit/>
        </w:trPr>
        <w:tc>
          <w:tcPr>
            <w:tcW w:type="dxa" w:w="700"/>
            <w:tcBorders>
              <w:top w:val="single" w:color="BFB5A5" w:sz="4"/>
              <w:left w:val="single" w:color="BFB5A5" w:sz="4"/>
              <w:bottom w:val="single" w:color="BFB5A5" w:sz="4"/>
              <w:right w:val="single" w:color="BFB5A5" w:sz="4"/>
            </w:tcBorders>
            <w:shd w:fill="F4ECDE" w:color="auto" w:val="clear"/>
            <w:tcMar>
              <w:top w:type="dxa" w:w="60"/>
              <w:left w:type="dxa" w:w="90"/>
              <w:bottom w:type="dxa" w:w="60"/>
              <w:right w:type="dxa" w:w="90"/>
            </w:tcMar>
          </w:tcPr>
          <w:p>
            <w:pPr>
              <w:spacing w:after="0" w:before="0"/>
            </w:pPr>
            <w:r>
              <w:rPr>
                <w:sz w:val="16"/>
                <w:szCs w:val="16"/>
              </w:rPr>
              <w:t xml:space="preserve">13–15</w:t>
            </w:r>
          </w:p>
        </w:tc>
        <w:tc>
          <w:tcPr>
            <w:tcW w:type="dxa" w:w="14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b/>
                <w:bCs/>
                <w:sz w:val="16"/>
                <w:szCs w:val="16"/>
              </w:rPr>
              <w:t xml:space="preserve">I</w:t>
            </w:r>
            <w:r>
              <w:rPr>
                <w:sz w:val="16"/>
                <w:szCs w:val="16"/>
              </w:rPr>
              <w:t xml:space="preserve"> Vormachen</w:t>
            </w:r>
          </w:p>
        </w:tc>
        <w:tc>
          <w:tcPr>
            <w:tcW w:type="dxa" w:w="33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Zwei Abschnitte laut denkend verbinden („aber“), Warnung vor dem Fehler. Gruppen zu dritt bilden, Sets liegen bereit.</w:t>
            </w:r>
          </w:p>
        </w:tc>
        <w:tc>
          <w:tcPr>
            <w:tcW w:type="dxa" w:w="2338"/>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Modellieren: Die Methode Mystery ist neu (direkt).</w:t>
            </w:r>
          </w:p>
        </w:tc>
        <w:tc>
          <w:tcPr>
            <w:tcW w:type="dxa" w:w="11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Lehrkraft</w:t>
            </w:r>
          </w:p>
        </w:tc>
        <w:tc>
          <w:tcPr>
            <w:tcW w:type="dxa" w:w="8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8</w:t>
            </w:r>
          </w:p>
        </w:tc>
      </w:tr>
      <w:tr>
        <w:trPr>
          <w:cantSplit/>
        </w:trPr>
        <w:tc>
          <w:tcPr>
            <w:tcW w:type="dxa" w:w="700"/>
            <w:tcBorders>
              <w:top w:val="single" w:color="BFB5A5" w:sz="4"/>
              <w:left w:val="single" w:color="BFB5A5" w:sz="4"/>
              <w:bottom w:val="single" w:color="BFB5A5" w:sz="4"/>
              <w:right w:val="single" w:color="BFB5A5" w:sz="4"/>
            </w:tcBorders>
            <w:shd w:fill="F4ECDE" w:color="auto" w:val="clear"/>
            <w:tcMar>
              <w:top w:type="dxa" w:w="60"/>
              <w:left w:type="dxa" w:w="90"/>
              <w:bottom w:type="dxa" w:w="60"/>
              <w:right w:type="dxa" w:w="90"/>
            </w:tcMar>
          </w:tcPr>
          <w:p>
            <w:pPr>
              <w:spacing w:after="0" w:before="0"/>
            </w:pPr>
            <w:r>
              <w:rPr>
                <w:sz w:val="16"/>
                <w:szCs w:val="16"/>
              </w:rPr>
              <w:t xml:space="preserve">15–29</w:t>
            </w:r>
          </w:p>
        </w:tc>
        <w:tc>
          <w:tcPr>
            <w:tcW w:type="dxa" w:w="14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b/>
                <w:bCs/>
                <w:sz w:val="16"/>
                <w:szCs w:val="16"/>
              </w:rPr>
              <w:t xml:space="preserve">V</w:t>
            </w:r>
            <w:r>
              <w:rPr>
                <w:sz w:val="16"/>
                <w:szCs w:val="16"/>
              </w:rPr>
              <w:t xml:space="preserve"> Mystery</w:t>
            </w:r>
          </w:p>
        </w:tc>
        <w:tc>
          <w:tcPr>
            <w:tcW w:type="dxa" w:w="33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Gruppen legen die Erklärungskette, jeder schreibt die Antwort ins Heft. Gestufte Hilfen am Pult. Nach 10 Min.: „Noch 4 Minuten – jetzt schreibt jeder.“</w:t>
            </w:r>
          </w:p>
        </w:tc>
        <w:tc>
          <w:tcPr>
            <w:tcW w:type="dxa" w:w="2338"/>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Selbstständige Erschließung neuer Informationen (indirekt); Zusammenhänge selbst herstellen.</w:t>
            </w:r>
          </w:p>
        </w:tc>
        <w:tc>
          <w:tcPr>
            <w:tcW w:type="dxa" w:w="11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GA (3)</w:t>
            </w:r>
          </w:p>
        </w:tc>
        <w:tc>
          <w:tcPr>
            <w:tcW w:type="dxa" w:w="8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9</w:t>
            </w:r>
          </w:p>
        </w:tc>
      </w:tr>
      <w:tr>
        <w:trPr>
          <w:cantSplit/>
        </w:trPr>
        <w:tc>
          <w:tcPr>
            <w:tcW w:type="dxa" w:w="700"/>
            <w:tcBorders>
              <w:top w:val="single" w:color="BFB5A5" w:sz="4"/>
              <w:left w:val="single" w:color="BFB5A5" w:sz="4"/>
              <w:bottom w:val="single" w:color="BFB5A5" w:sz="4"/>
              <w:right w:val="single" w:color="BFB5A5" w:sz="4"/>
            </w:tcBorders>
            <w:shd w:fill="F4ECDE" w:color="auto" w:val="clear"/>
            <w:tcMar>
              <w:top w:type="dxa" w:w="60"/>
              <w:left w:type="dxa" w:w="90"/>
              <w:bottom w:type="dxa" w:w="60"/>
              <w:right w:type="dxa" w:w="90"/>
            </w:tcMar>
          </w:tcPr>
          <w:p>
            <w:pPr>
              <w:spacing w:after="0" w:before="0"/>
            </w:pPr>
            <w:r>
              <w:rPr>
                <w:sz w:val="16"/>
                <w:szCs w:val="16"/>
              </w:rPr>
              <w:t xml:space="preserve">29–33</w:t>
            </w:r>
          </w:p>
        </w:tc>
        <w:tc>
          <w:tcPr>
            <w:tcW w:type="dxa" w:w="14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b/>
                <w:bCs/>
                <w:sz w:val="16"/>
                <w:szCs w:val="16"/>
              </w:rPr>
              <w:t xml:space="preserve">V</w:t>
            </w:r>
            <w:r>
              <w:rPr>
                <w:sz w:val="16"/>
                <w:szCs w:val="16"/>
              </w:rPr>
              <w:t xml:space="preserve"> Lösung</w:t>
            </w:r>
          </w:p>
        </w:tc>
        <w:tc>
          <w:tcPr>
            <w:tcW w:type="dxa" w:w="33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Zwei Gruppen lesen vom Platz vor, du trägst die Kette an der Tafel ein. Vergleich mit der Vermutung.</w:t>
            </w:r>
          </w:p>
        </w:tc>
        <w:tc>
          <w:tcPr>
            <w:tcW w:type="dxa" w:w="2338"/>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Puzzleteile zum Gesamtbild fügen; Aha auflösen.</w:t>
            </w:r>
          </w:p>
        </w:tc>
        <w:tc>
          <w:tcPr>
            <w:tcW w:type="dxa" w:w="11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Plenum</w:t>
            </w:r>
          </w:p>
        </w:tc>
        <w:tc>
          <w:tcPr>
            <w:tcW w:type="dxa" w:w="8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10</w:t>
            </w:r>
          </w:p>
        </w:tc>
      </w:tr>
      <w:tr>
        <w:trPr>
          <w:cantSplit/>
        </w:trPr>
        <w:tc>
          <w:tcPr>
            <w:tcW w:type="dxa" w:w="700"/>
            <w:tcBorders>
              <w:top w:val="single" w:color="BFB5A5" w:sz="4"/>
              <w:left w:val="single" w:color="BFB5A5" w:sz="4"/>
              <w:bottom w:val="single" w:color="BFB5A5" w:sz="4"/>
              <w:right w:val="single" w:color="BFB5A5" w:sz="4"/>
            </w:tcBorders>
            <w:shd w:fill="F4ECDE" w:color="auto" w:val="clear"/>
            <w:tcMar>
              <w:top w:type="dxa" w:w="60"/>
              <w:left w:type="dxa" w:w="90"/>
              <w:bottom w:type="dxa" w:w="60"/>
              <w:right w:type="dxa" w:w="90"/>
            </w:tcMar>
          </w:tcPr>
          <w:p>
            <w:pPr>
              <w:spacing w:after="0" w:before="0"/>
            </w:pPr>
            <w:r>
              <w:rPr>
                <w:sz w:val="16"/>
                <w:szCs w:val="16"/>
              </w:rPr>
              <w:t xml:space="preserve">33–38</w:t>
            </w:r>
          </w:p>
        </w:tc>
        <w:tc>
          <w:tcPr>
            <w:tcW w:type="dxa" w:w="14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b/>
                <w:bCs/>
                <w:sz w:val="16"/>
                <w:szCs w:val="16"/>
              </w:rPr>
              <w:t xml:space="preserve">V</w:t>
            </w:r>
            <w:r>
              <w:rPr>
                <w:sz w:val="16"/>
                <w:szCs w:val="16"/>
              </w:rPr>
              <w:t xml:space="preserve"> Schaubild</w:t>
            </w:r>
          </w:p>
        </w:tc>
        <w:tc>
          <w:tcPr>
            <w:tcW w:type="dxa" w:w="33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Phylenordnung erklären (2 Min.), Prüffragen an 3–4 Schüler. *Ostrakismos nur bei Zeit.</w:t>
            </w:r>
          </w:p>
        </w:tc>
        <w:tc>
          <w:tcPr>
            <w:tcW w:type="dxa" w:w="2338"/>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Sicherung des Kerns als Schaubild (Klausur: Schaubild erklären) (direkt).</w:t>
            </w:r>
          </w:p>
        </w:tc>
        <w:tc>
          <w:tcPr>
            <w:tcW w:type="dxa" w:w="11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Lehrkraft, Stichproben</w:t>
            </w:r>
          </w:p>
        </w:tc>
        <w:tc>
          <w:tcPr>
            <w:tcW w:type="dxa" w:w="8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11</w:t>
            </w:r>
          </w:p>
        </w:tc>
      </w:tr>
      <w:tr>
        <w:trPr>
          <w:cantSplit/>
        </w:trPr>
        <w:tc>
          <w:tcPr>
            <w:tcW w:type="dxa" w:w="700"/>
            <w:tcBorders>
              <w:top w:val="single" w:color="BFB5A5" w:sz="4"/>
              <w:left w:val="single" w:color="BFB5A5" w:sz="4"/>
              <w:bottom w:val="single" w:color="BFB5A5" w:sz="4"/>
              <w:right w:val="single" w:color="BFB5A5" w:sz="4"/>
            </w:tcBorders>
            <w:shd w:fill="F4ECDE" w:color="auto" w:val="clear"/>
            <w:tcMar>
              <w:top w:type="dxa" w:w="60"/>
              <w:left w:type="dxa" w:w="90"/>
              <w:bottom w:type="dxa" w:w="60"/>
              <w:right w:type="dxa" w:w="90"/>
            </w:tcMar>
          </w:tcPr>
          <w:p>
            <w:pPr>
              <w:spacing w:after="0" w:before="0"/>
            </w:pPr>
            <w:r>
              <w:rPr>
                <w:sz w:val="16"/>
                <w:szCs w:val="16"/>
              </w:rPr>
              <w:t xml:space="preserve">38–45</w:t>
            </w:r>
          </w:p>
        </w:tc>
        <w:tc>
          <w:tcPr>
            <w:tcW w:type="dxa" w:w="14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b/>
                <w:bCs/>
                <w:sz w:val="16"/>
                <w:szCs w:val="16"/>
              </w:rPr>
              <w:t xml:space="preserve">A</w:t>
            </w:r>
            <w:r>
              <w:rPr>
                <w:sz w:val="16"/>
                <w:szCs w:val="16"/>
              </w:rPr>
              <w:t xml:space="preserve"> Abschluss</w:t>
            </w:r>
          </w:p>
        </w:tc>
        <w:tc>
          <w:tcPr>
            <w:tcW w:type="dxa" w:w="33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Abschlussaufgabe „Kleisthenes und Solon“ (4), zwei lesen vor, Rückbezug aufs Ziel, Ausblick Mittwoch.</w:t>
            </w:r>
          </w:p>
        </w:tc>
        <w:tc>
          <w:tcPr>
            <w:tcW w:type="dxa" w:w="2338"/>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Prüft genau das Ziel; Verbindung zu Solon (Klausur). </w:t>
            </w:r>
            <w:r>
              <w:rPr>
                <w:b/>
                <w:bCs/>
                <w:sz w:val="16"/>
                <w:szCs w:val="16"/>
              </w:rPr>
              <w:t xml:space="preserve">Nie kürzen.</w:t>
            </w:r>
          </w:p>
        </w:tc>
        <w:tc>
          <w:tcPr>
            <w:tcW w:type="dxa" w:w="11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EA, Stichproben</w:t>
            </w:r>
          </w:p>
        </w:tc>
        <w:tc>
          <w:tcPr>
            <w:tcW w:type="dxa" w:w="8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0" w:before="0"/>
            </w:pPr>
            <w:r>
              <w:rPr>
                <w:sz w:val="16"/>
                <w:szCs w:val="16"/>
              </w:rPr>
              <w:t xml:space="preserve">12–13</w:t>
            </w:r>
          </w:p>
        </w:tc>
      </w:tr>
    </w:tbl>
    <w:p>
      <w:pPr>
        <w:spacing w:after="80" w:before="80"/>
      </w:pPr>
      <w:r>
        <w:rPr>
          <w:b/>
          <w:bCs/>
          <w:sz w:val="18"/>
          <w:szCs w:val="18"/>
        </w:rPr>
        <w:t xml:space="preserve">Bei Zeitnot kürzen:</w:t>
      </w:r>
      <w:r>
        <w:rPr>
          <w:sz w:val="18"/>
          <w:szCs w:val="18"/>
        </w:rPr>
        <w:t xml:space="preserve"> Schaubild (Folie 11) nur zeigen, nicht erklären; Ostrakismos weglassen. </w:t>
      </w:r>
      <w:r>
        <w:rPr>
          <w:b/>
          <w:bCs/>
          <w:sz w:val="18"/>
          <w:szCs w:val="18"/>
        </w:rPr>
        <w:t xml:space="preserve">Nie kürzen:</w:t>
      </w:r>
      <w:r>
        <w:rPr>
          <w:sz w:val="18"/>
          <w:szCs w:val="18"/>
        </w:rPr>
        <w:t xml:space="preserve"> Abschlussaufgabe (Folien 12–13).</w:t>
      </w:r>
    </w:p>
    <w:p>
      <w:pPr>
        <w:keepNext/>
        <w:spacing w:after="100" w:before="220"/>
      </w:pPr>
      <w:r>
        <w:rPr>
          <w:rFonts w:ascii="Cambria" w:cs="Cambria" w:eastAsia="Cambria" w:hAnsi="Cambria"/>
          <w:b/>
          <w:bCs/>
          <w:color w:val="AD4426"/>
          <w:sz w:val="25"/>
          <w:szCs w:val="25"/>
        </w:rPr>
        <w:t xml:space="preserve">3. Vormachen (Folie 8) – laut denken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ECDE" w:color="auto" w:val="clear"/>
            <w:tcMar>
              <w:top w:type="dxa" w:w="120"/>
              <w:left w:type="dxa" w:w="180"/>
              <w:bottom w:type="dxa" w:w="120"/>
              <w:right w:type="dxa" w:w="180"/>
            </w:tcMar>
          </w:tcPr>
          <w:p>
            <w:pPr>
              <w:spacing w:after="60" w:before="0"/>
            </w:pPr>
            <w:r>
              <w:rPr>
                <w:i/>
                <w:iCs/>
                <w:sz w:val="18"/>
                <w:szCs w:val="18"/>
              </w:rPr>
              <w:t xml:space="preserve">„Ich nehme zwei Abschnitte. Nummer 4 sagt: Seit Solon darf Lysias abstimmen – er hat also das Recht. Nummer 6 sagt: In den alten Phylen gaben die Adelsfamilien den Ton an, wer zu einer Familie hielt, stimmte mit ihr. Wie passt das zusammen? Er hat das Recht, aber er nutzt es nicht frei. Ich lege die beiden nebeneinander und schreibe ‚aber‘ dazwischen. So baut ihr eure Kette: Was hängt womit zusammen – weil, deshalb, aber?“</w:t>
            </w:r>
          </w:p>
          <w:p>
            <w:pPr>
              <w:spacing w:after="0" w:before="0"/>
            </w:pPr>
            <w:r>
              <w:rPr>
                <w:b/>
                <w:bCs/>
                <w:sz w:val="18"/>
                <w:szCs w:val="18"/>
              </w:rPr>
              <w:t xml:space="preserve">Warnung vor dem Fehler:</w:t>
            </w:r>
            <w:r>
              <w:rPr>
                <w:sz w:val="18"/>
                <w:szCs w:val="18"/>
              </w:rPr>
              <w:t xml:space="preserve"> „Kleisthenes nimmt niemandem Land weg und ändert Solons Vermögensklassen nicht. Die Lösung liegt woanders.“</w:t>
            </w:r>
          </w:p>
        </w:tc>
      </w:tr>
    </w:tbl>
    <w:p>
      <w:pPr>
        <w:keepNext/>
        <w:spacing w:after="100" w:before="220"/>
      </w:pPr>
      <w:r>
        <w:rPr>
          <w:rFonts w:ascii="Cambria" w:cs="Cambria" w:eastAsia="Cambria" w:hAnsi="Cambria"/>
          <w:b/>
          <w:bCs/>
          <w:color w:val="AD4426"/>
          <w:sz w:val="25"/>
          <w:szCs w:val="25"/>
        </w:rPr>
        <w:t xml:space="preserve">4. Erwartungshorizont</w:t>
      </w:r>
    </w:p>
    <w:p>
      <w:pPr>
        <w:keepNext/>
        <w:spacing w:after="80" w:before="0"/>
      </w:pPr>
      <w:r>
        <w:rPr>
          <w:b/>
          <w:bCs/>
          <w:sz w:val="18"/>
          <w:szCs w:val="18"/>
        </w:rPr>
        <w:t xml:space="preserve">Fehler-Übersicht (Folie 3) – die 6 Fehler: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tblHeader/>
        </w:trPr>
        <w:tc>
          <w:tcPr>
            <w:tcW w:type="dxa" w:w="2400"/>
            <w:tcBorders>
              <w:top w:val="single" w:color="BFB5A5" w:sz="4"/>
              <w:left w:val="single" w:color="BFB5A5" w:sz="4"/>
              <w:bottom w:val="single" w:color="BFB5A5" w:sz="4"/>
              <w:right w:val="single" w:color="BFB5A5" w:sz="4"/>
            </w:tcBorders>
            <w:shd w:fill="2B2318" w:color="auto" w:val="clear"/>
            <w:tcMar>
              <w:top w:type="dxa" w:w="60"/>
              <w:left w:type="dxa" w:w="90"/>
              <w:bottom w:type="dxa" w:w="60"/>
              <w:right w:type="dxa" w:w="90"/>
            </w:tcMar>
          </w:tcPr>
          <w:p>
            <w:pPr>
              <w:spacing w:after="0" w:before="0"/>
            </w:pPr>
            <w:r>
              <w:rPr>
                <w:b/>
                <w:bCs/>
                <w:color w:val="FFFFFF"/>
                <w:sz w:val="17"/>
                <w:szCs w:val="17"/>
              </w:rPr>
              <w:t xml:space="preserve">Protagonist</w:t>
            </w:r>
          </w:p>
        </w:tc>
        <w:tc>
          <w:tcPr>
            <w:tcW w:type="dxa" w:w="3600"/>
            <w:tcBorders>
              <w:top w:val="single" w:color="BFB5A5" w:sz="4"/>
              <w:left w:val="single" w:color="BFB5A5" w:sz="4"/>
              <w:bottom w:val="single" w:color="BFB5A5" w:sz="4"/>
              <w:right w:val="single" w:color="BFB5A5" w:sz="4"/>
            </w:tcBorders>
            <w:shd w:fill="2B2318" w:color="auto" w:val="clear"/>
            <w:tcMar>
              <w:top w:type="dxa" w:w="60"/>
              <w:left w:type="dxa" w:w="90"/>
              <w:bottom w:type="dxa" w:w="60"/>
              <w:right w:type="dxa" w:w="90"/>
            </w:tcMar>
          </w:tcPr>
          <w:p>
            <w:pPr>
              <w:spacing w:after="0" w:before="0"/>
            </w:pPr>
            <w:r>
              <w:rPr>
                <w:b/>
                <w:bCs/>
                <w:color w:val="FFFFFF"/>
                <w:sz w:val="17"/>
                <w:szCs w:val="17"/>
              </w:rPr>
              <w:t xml:space="preserve">Falsch</w:t>
            </w:r>
          </w:p>
        </w:tc>
        <w:tc>
          <w:tcPr>
            <w:tcW w:type="dxa" w:w="3638"/>
            <w:tcBorders>
              <w:top w:val="single" w:color="BFB5A5" w:sz="4"/>
              <w:left w:val="single" w:color="BFB5A5" w:sz="4"/>
              <w:bottom w:val="single" w:color="BFB5A5" w:sz="4"/>
              <w:right w:val="single" w:color="BFB5A5" w:sz="4"/>
            </w:tcBorders>
            <w:shd w:fill="2B2318" w:color="auto" w:val="clear"/>
            <w:tcMar>
              <w:top w:type="dxa" w:w="60"/>
              <w:left w:type="dxa" w:w="90"/>
              <w:bottom w:type="dxa" w:w="60"/>
              <w:right w:type="dxa" w:w="90"/>
            </w:tcMar>
          </w:tcPr>
          <w:p>
            <w:pPr>
              <w:spacing w:after="0" w:before="0"/>
            </w:pPr>
            <w:r>
              <w:rPr>
                <w:b/>
                <w:bCs/>
                <w:color w:val="FFFFFF"/>
                <w:sz w:val="17"/>
                <w:szCs w:val="17"/>
              </w:rPr>
              <w:t xml:space="preserve">Richtig</w:t>
            </w:r>
          </w:p>
        </w:tc>
      </w:tr>
      <w:tr>
        <w:trPr>
          <w:cantSplit/>
        </w:trPr>
        <w:tc>
          <w:tcPr>
            <w:tcW w:type="dxa" w:w="2400"/>
            <w:tcBorders>
              <w:top w:val="single" w:color="BFB5A5" w:sz="4"/>
              <w:left w:val="single" w:color="BFB5A5" w:sz="4"/>
              <w:bottom w:val="single" w:color="BFB5A5" w:sz="4"/>
              <w:right w:val="single" w:color="BFB5A5" w:sz="4"/>
            </w:tcBorders>
            <w:shd w:fill="F4ECDE" w:color="auto" w:val="clear"/>
            <w:tcMar>
              <w:top w:type="dxa" w:w="60"/>
              <w:left w:type="dxa" w:w="90"/>
              <w:bottom w:type="dxa" w:w="60"/>
              <w:right w:type="dxa" w:w="90"/>
            </w:tcMar>
          </w:tcPr>
          <w:p>
            <w:pPr>
              <w:spacing w:after="30" w:before="0"/>
            </w:pPr>
            <w:r>
              <w:rPr>
                <w:sz w:val="17"/>
                <w:szCs w:val="17"/>
              </w:rPr>
              <w:t xml:space="preserve">Aristokratie</w:t>
            </w:r>
          </w:p>
        </w:tc>
        <w:tc>
          <w:tcPr>
            <w:tcW w:type="dxa" w:w="36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Recht sprechen gewählte Richter aus dem Volk.</w:t>
            </w:r>
          </w:p>
        </w:tc>
        <w:tc>
          <w:tcPr>
            <w:tcW w:type="dxa" w:w="3638"/>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Recht spricht der Adel; geschriebene Gesetze gibt es nicht.</w:t>
            </w:r>
          </w:p>
        </w:tc>
      </w:tr>
      <w:tr>
        <w:trPr>
          <w:cantSplit/>
        </w:trPr>
        <w:tc>
          <w:tcPr>
            <w:tcW w:type="dxa" w:w="2400"/>
            <w:tcBorders>
              <w:top w:val="single" w:color="BFB5A5" w:sz="4"/>
              <w:left w:val="single" w:color="BFB5A5" w:sz="4"/>
              <w:bottom w:val="single" w:color="BFB5A5" w:sz="4"/>
              <w:right w:val="single" w:color="BFB5A5" w:sz="4"/>
            </w:tcBorders>
            <w:shd w:fill="F4ECDE" w:color="auto" w:val="clear"/>
            <w:tcMar>
              <w:top w:type="dxa" w:w="60"/>
              <w:left w:type="dxa" w:w="90"/>
              <w:bottom w:type="dxa" w:w="60"/>
              <w:right w:type="dxa" w:w="90"/>
            </w:tcMar>
          </w:tcPr>
          <w:p>
            <w:pPr>
              <w:spacing w:after="30" w:before="0"/>
            </w:pPr>
            <w:r>
              <w:rPr>
                <w:sz w:val="17"/>
                <w:szCs w:val="17"/>
              </w:rPr>
              <w:t xml:space="preserve">Drakon</w:t>
            </w:r>
          </w:p>
        </w:tc>
        <w:tc>
          <w:tcPr>
            <w:tcW w:type="dxa" w:w="36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Er schafft die Schuldknechtschaft ab.</w:t>
            </w:r>
          </w:p>
        </w:tc>
        <w:tc>
          <w:tcPr>
            <w:tcW w:type="dxa" w:w="3638"/>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Die Schuldknechtschaft bleibt bestehen.</w:t>
            </w:r>
          </w:p>
        </w:tc>
      </w:tr>
      <w:tr>
        <w:trPr>
          <w:cantSplit/>
        </w:trPr>
        <w:tc>
          <w:tcPr>
            <w:tcW w:type="dxa" w:w="2400"/>
            <w:tcBorders>
              <w:top w:val="single" w:color="BFB5A5" w:sz="4"/>
              <w:left w:val="single" w:color="BFB5A5" w:sz="4"/>
              <w:bottom w:val="single" w:color="BFB5A5" w:sz="4"/>
              <w:right w:val="single" w:color="BFB5A5" w:sz="4"/>
            </w:tcBorders>
            <w:shd w:fill="F4ECDE" w:color="auto" w:val="clear"/>
            <w:tcMar>
              <w:top w:type="dxa" w:w="60"/>
              <w:left w:type="dxa" w:w="90"/>
              <w:bottom w:type="dxa" w:w="60"/>
              <w:right w:type="dxa" w:w="90"/>
            </w:tcMar>
          </w:tcPr>
          <w:p>
            <w:pPr>
              <w:spacing w:after="30" w:before="0"/>
            </w:pPr>
            <w:r>
              <w:rPr>
                <w:sz w:val="17"/>
                <w:szCs w:val="17"/>
              </w:rPr>
              <w:t xml:space="preserve">Solon</w:t>
            </w:r>
          </w:p>
        </w:tc>
        <w:tc>
          <w:tcPr>
            <w:tcW w:type="dxa" w:w="36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 und verteilt das Land der Großgrundbesitzer neu.</w:t>
            </w:r>
          </w:p>
        </w:tc>
        <w:tc>
          <w:tcPr>
            <w:tcW w:type="dxa" w:w="3638"/>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Schulden gestrichen, aber keine Landverteilung.</w:t>
            </w:r>
          </w:p>
        </w:tc>
      </w:tr>
      <w:tr>
        <w:trPr>
          <w:cantSplit/>
        </w:trPr>
        <w:tc>
          <w:tcPr>
            <w:tcW w:type="dxa" w:w="2400"/>
            <w:tcBorders>
              <w:top w:val="single" w:color="BFB5A5" w:sz="4"/>
              <w:left w:val="single" w:color="BFB5A5" w:sz="4"/>
              <w:bottom w:val="single" w:color="BFB5A5" w:sz="4"/>
              <w:right w:val="single" w:color="BFB5A5" w:sz="4"/>
            </w:tcBorders>
            <w:shd w:fill="F4ECDE" w:color="auto" w:val="clear"/>
            <w:tcMar>
              <w:top w:type="dxa" w:w="60"/>
              <w:left w:type="dxa" w:w="90"/>
              <w:bottom w:type="dxa" w:w="60"/>
              <w:right w:type="dxa" w:w="90"/>
            </w:tcMar>
          </w:tcPr>
          <w:p>
            <w:pPr>
              <w:spacing w:after="30" w:before="0"/>
            </w:pPr>
            <w:r>
              <w:rPr>
                <w:sz w:val="17"/>
                <w:szCs w:val="17"/>
              </w:rPr>
              <w:t xml:space="preserve">Solon</w:t>
            </w:r>
          </w:p>
        </w:tc>
        <w:tc>
          <w:tcPr>
            <w:tcW w:type="dxa" w:w="36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Rechte nach der Herkunft; Theten dürfen Archont werden.</w:t>
            </w:r>
          </w:p>
        </w:tc>
        <w:tc>
          <w:tcPr>
            <w:tcW w:type="dxa" w:w="3638"/>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Rechte nach dem Besitz; Theten nur abstimmen und klagen.</w:t>
            </w:r>
          </w:p>
        </w:tc>
      </w:tr>
      <w:tr>
        <w:trPr>
          <w:cantSplit/>
        </w:trPr>
        <w:tc>
          <w:tcPr>
            <w:tcW w:type="dxa" w:w="2400"/>
            <w:tcBorders>
              <w:top w:val="single" w:color="BFB5A5" w:sz="4"/>
              <w:left w:val="single" w:color="BFB5A5" w:sz="4"/>
              <w:bottom w:val="single" w:color="BFB5A5" w:sz="4"/>
              <w:right w:val="single" w:color="BFB5A5" w:sz="4"/>
            </w:tcBorders>
            <w:shd w:fill="F4ECDE" w:color="auto" w:val="clear"/>
            <w:tcMar>
              <w:top w:type="dxa" w:w="60"/>
              <w:left w:type="dxa" w:w="90"/>
              <w:bottom w:type="dxa" w:w="60"/>
              <w:right w:type="dxa" w:w="90"/>
            </w:tcMar>
          </w:tcPr>
          <w:p>
            <w:pPr>
              <w:spacing w:after="30" w:before="0"/>
            </w:pPr>
            <w:r>
              <w:rPr>
                <w:sz w:val="17"/>
                <w:szCs w:val="17"/>
              </w:rPr>
              <w:t xml:space="preserve">Peisistratos</w:t>
            </w:r>
          </w:p>
        </w:tc>
        <w:tc>
          <w:tcPr>
            <w:tcW w:type="dxa" w:w="36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Die Volksversammlung wählt ihn.</w:t>
            </w:r>
          </w:p>
        </w:tc>
        <w:tc>
          <w:tcPr>
            <w:tcW w:type="dxa" w:w="3638"/>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Er erobert die Macht mit Söldnern, besetzt die Akropolis (546).</w:t>
            </w:r>
          </w:p>
        </w:tc>
      </w:tr>
      <w:tr>
        <w:trPr>
          <w:cantSplit/>
        </w:trPr>
        <w:tc>
          <w:tcPr>
            <w:tcW w:type="dxa" w:w="2400"/>
            <w:tcBorders>
              <w:top w:val="single" w:color="BFB5A5" w:sz="4"/>
              <w:left w:val="single" w:color="BFB5A5" w:sz="4"/>
              <w:bottom w:val="single" w:color="BFB5A5" w:sz="4"/>
              <w:right w:val="single" w:color="BFB5A5" w:sz="4"/>
            </w:tcBorders>
            <w:shd w:fill="F4ECDE" w:color="auto" w:val="clear"/>
            <w:tcMar>
              <w:top w:type="dxa" w:w="60"/>
              <w:left w:type="dxa" w:w="90"/>
              <w:bottom w:type="dxa" w:w="60"/>
              <w:right w:type="dxa" w:w="90"/>
            </w:tcMar>
          </w:tcPr>
          <w:p>
            <w:pPr>
              <w:spacing w:after="30" w:before="0"/>
            </w:pPr>
            <w:r>
              <w:rPr>
                <w:sz w:val="17"/>
                <w:szCs w:val="17"/>
              </w:rPr>
              <w:t xml:space="preserve">Peisistratos</w:t>
            </w:r>
          </w:p>
        </w:tc>
        <w:tc>
          <w:tcPr>
            <w:tcW w:type="dxa" w:w="36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Er schafft Solons Verfassung ab.</w:t>
            </w:r>
          </w:p>
        </w:tc>
        <w:tc>
          <w:tcPr>
            <w:tcW w:type="dxa" w:w="3638"/>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Die Verfassung bleibt, die Ämter bekommen seine Anhänger.</w:t>
            </w:r>
          </w:p>
        </w:tc>
      </w:tr>
    </w:tbl>
    <w:p>
      <w:pPr>
        <w:keepNext/>
        <w:spacing w:after="80" w:before="100"/>
      </w:pPr>
      <w:r>
        <w:rPr>
          <w:b/>
          <w:bCs/>
          <w:sz w:val="18"/>
          <w:szCs w:val="18"/>
        </w:rPr>
        <w:t xml:space="preserve">Mystery – die Erklärungskette: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638"/>
      </w:tblGrid>
      <w:tr>
        <w:trPr>
          <w:tblHeader/>
        </w:trPr>
        <w:tc>
          <w:tcPr>
            <w:tcW w:type="dxa" w:w="1500"/>
            <w:tcBorders>
              <w:top w:val="single" w:color="BFB5A5" w:sz="4"/>
              <w:left w:val="single" w:color="BFB5A5" w:sz="4"/>
              <w:bottom w:val="single" w:color="BFB5A5" w:sz="4"/>
              <w:right w:val="single" w:color="BFB5A5" w:sz="4"/>
            </w:tcBorders>
            <w:shd w:fill="2B2318" w:color="auto" w:val="clear"/>
            <w:tcMar>
              <w:top w:type="dxa" w:w="60"/>
              <w:left w:type="dxa" w:w="90"/>
              <w:bottom w:type="dxa" w:w="60"/>
              <w:right w:type="dxa" w:w="90"/>
            </w:tcMar>
          </w:tcPr>
          <w:p>
            <w:pPr>
              <w:spacing w:after="0" w:before="0"/>
            </w:pPr>
            <w:r>
              <w:rPr>
                <w:b/>
                <w:bCs/>
                <w:color w:val="FFFFFF"/>
                <w:sz w:val="17"/>
                <w:szCs w:val="17"/>
              </w:rPr>
              <w:t xml:space="preserve">Schritt</w:t>
            </w:r>
          </w:p>
        </w:tc>
        <w:tc>
          <w:tcPr>
            <w:tcW w:type="dxa" w:w="1500"/>
            <w:tcBorders>
              <w:top w:val="single" w:color="BFB5A5" w:sz="4"/>
              <w:left w:val="single" w:color="BFB5A5" w:sz="4"/>
              <w:bottom w:val="single" w:color="BFB5A5" w:sz="4"/>
              <w:right w:val="single" w:color="BFB5A5" w:sz="4"/>
            </w:tcBorders>
            <w:shd w:fill="2B2318" w:color="auto" w:val="clear"/>
            <w:tcMar>
              <w:top w:type="dxa" w:w="60"/>
              <w:left w:type="dxa" w:w="90"/>
              <w:bottom w:type="dxa" w:w="60"/>
              <w:right w:type="dxa" w:w="90"/>
            </w:tcMar>
          </w:tcPr>
          <w:p>
            <w:pPr>
              <w:spacing w:after="0" w:before="0"/>
            </w:pPr>
            <w:r>
              <w:rPr>
                <w:b/>
                <w:bCs/>
                <w:color w:val="FFFFFF"/>
                <w:sz w:val="17"/>
                <w:szCs w:val="17"/>
              </w:rPr>
              <w:t xml:space="preserve">Abschnitt</w:t>
            </w:r>
          </w:p>
        </w:tc>
        <w:tc>
          <w:tcPr>
            <w:tcW w:type="dxa" w:w="6638"/>
            <w:tcBorders>
              <w:top w:val="single" w:color="BFB5A5" w:sz="4"/>
              <w:left w:val="single" w:color="BFB5A5" w:sz="4"/>
              <w:bottom w:val="single" w:color="BFB5A5" w:sz="4"/>
              <w:right w:val="single" w:color="BFB5A5" w:sz="4"/>
            </w:tcBorders>
            <w:shd w:fill="2B2318" w:color="auto" w:val="clear"/>
            <w:tcMar>
              <w:top w:type="dxa" w:w="60"/>
              <w:left w:type="dxa" w:w="90"/>
              <w:bottom w:type="dxa" w:w="60"/>
              <w:right w:type="dxa" w:w="90"/>
            </w:tcMar>
          </w:tcPr>
          <w:p>
            <w:pPr>
              <w:spacing w:after="0" w:before="0"/>
            </w:pPr>
            <w:r>
              <w:rPr>
                <w:b/>
                <w:bCs/>
                <w:color w:val="FFFFFF"/>
                <w:sz w:val="17"/>
                <w:szCs w:val="17"/>
              </w:rPr>
              <w:t xml:space="preserve">Inhalt</w:t>
            </w:r>
          </w:p>
        </w:tc>
      </w:tr>
      <w:tr>
        <w:trPr>
          <w:cantSplit/>
        </w:trPr>
        <w:tc>
          <w:tcPr>
            <w:tcW w:type="dxa" w:w="1500"/>
            <w:tcBorders>
              <w:top w:val="single" w:color="BFB5A5" w:sz="4"/>
              <w:left w:val="single" w:color="BFB5A5" w:sz="4"/>
              <w:bottom w:val="single" w:color="BFB5A5" w:sz="4"/>
              <w:right w:val="single" w:color="BFB5A5" w:sz="4"/>
            </w:tcBorders>
            <w:shd w:fill="F4ECDE" w:color="auto" w:val="clear"/>
            <w:tcMar>
              <w:top w:type="dxa" w:w="60"/>
              <w:left w:type="dxa" w:w="90"/>
              <w:bottom w:type="dxa" w:w="60"/>
              <w:right w:type="dxa" w:w="90"/>
            </w:tcMar>
          </w:tcPr>
          <w:p>
            <w:pPr>
              <w:spacing w:after="30" w:before="0"/>
            </w:pPr>
            <w:r>
              <w:rPr>
                <w:sz w:val="17"/>
                <w:szCs w:val="17"/>
              </w:rPr>
              <w:t xml:space="preserve">Ausgangslage</w:t>
            </w:r>
          </w:p>
        </w:tc>
        <w:tc>
          <w:tcPr>
            <w:tcW w:type="dxa" w:w="15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4, 6</w:t>
            </w:r>
          </w:p>
        </w:tc>
        <w:tc>
          <w:tcPr>
            <w:tcW w:type="dxa" w:w="6638"/>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Lysias hat seit Solon das Stimmrecht, ist aber von seinem adligen Nachbarn abhängig und an dessen Familie gebunden – und jeder sieht, wie er stimmt.</w:t>
            </w:r>
          </w:p>
        </w:tc>
      </w:tr>
      <w:tr>
        <w:trPr>
          <w:cantSplit/>
        </w:trPr>
        <w:tc>
          <w:tcPr>
            <w:tcW w:type="dxa" w:w="1500"/>
            <w:tcBorders>
              <w:top w:val="single" w:color="BFB5A5" w:sz="4"/>
              <w:left w:val="single" w:color="BFB5A5" w:sz="4"/>
              <w:bottom w:val="single" w:color="BFB5A5" w:sz="4"/>
              <w:right w:val="single" w:color="BFB5A5" w:sz="4"/>
            </w:tcBorders>
            <w:shd w:fill="F4ECDE" w:color="auto" w:val="clear"/>
            <w:tcMar>
              <w:top w:type="dxa" w:w="60"/>
              <w:left w:type="dxa" w:w="90"/>
              <w:bottom w:type="dxa" w:w="60"/>
              <w:right w:type="dxa" w:w="90"/>
            </w:tcMar>
          </w:tcPr>
          <w:p>
            <w:pPr>
              <w:spacing w:after="30" w:before="0"/>
            </w:pPr>
            <w:r>
              <w:rPr>
                <w:sz w:val="17"/>
                <w:szCs w:val="17"/>
              </w:rPr>
              <w:t xml:space="preserve">Wende</w:t>
            </w:r>
          </w:p>
        </w:tc>
        <w:tc>
          <w:tcPr>
            <w:tcW w:type="dxa" w:w="15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2, 8</w:t>
            </w:r>
          </w:p>
        </w:tc>
        <w:tc>
          <w:tcPr>
            <w:tcW w:type="dxa" w:w="6638"/>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Nach dem Sturz der Tyrannis braucht Kleisthenes das Volk; das Volk setzt sich gegen Isagoras und Sparta durch.</w:t>
            </w:r>
          </w:p>
        </w:tc>
      </w:tr>
      <w:tr>
        <w:trPr>
          <w:cantSplit/>
        </w:trPr>
        <w:tc>
          <w:tcPr>
            <w:tcW w:type="dxa" w:w="1500"/>
            <w:tcBorders>
              <w:top w:val="single" w:color="BFB5A5" w:sz="4"/>
              <w:left w:val="single" w:color="BFB5A5" w:sz="4"/>
              <w:bottom w:val="single" w:color="BFB5A5" w:sz="4"/>
              <w:right w:val="single" w:color="BFB5A5" w:sz="4"/>
            </w:tcBorders>
            <w:shd w:fill="F4ECDE" w:color="auto" w:val="clear"/>
            <w:tcMar>
              <w:top w:type="dxa" w:w="60"/>
              <w:left w:type="dxa" w:w="90"/>
              <w:bottom w:type="dxa" w:w="60"/>
              <w:right w:type="dxa" w:w="90"/>
            </w:tcMar>
          </w:tcPr>
          <w:p>
            <w:pPr>
              <w:spacing w:after="30" w:before="0"/>
            </w:pPr>
            <w:r>
              <w:rPr>
                <w:sz w:val="17"/>
                <w:szCs w:val="17"/>
              </w:rPr>
              <w:t xml:space="preserve">Reform</w:t>
            </w:r>
          </w:p>
        </w:tc>
        <w:tc>
          <w:tcPr>
            <w:tcW w:type="dxa" w:w="15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1, 5</w:t>
            </w:r>
          </w:p>
        </w:tc>
        <w:tc>
          <w:tcPr>
            <w:tcW w:type="dxa" w:w="6638"/>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Attika wird neu gegliedert: 3 Gebiete × 10 Trittyen, daraus 10 Phylen, die Stadt, Küste und Binnenland mischen. Bürger ist man über seinen Demos, nicht über seine Familie.</w:t>
            </w:r>
          </w:p>
        </w:tc>
      </w:tr>
      <w:tr>
        <w:trPr>
          <w:cantSplit/>
        </w:trPr>
        <w:tc>
          <w:tcPr>
            <w:tcW w:type="dxa" w:w="1500"/>
            <w:tcBorders>
              <w:top w:val="single" w:color="BFB5A5" w:sz="4"/>
              <w:left w:val="single" w:color="BFB5A5" w:sz="4"/>
              <w:bottom w:val="single" w:color="BFB5A5" w:sz="4"/>
              <w:right w:val="single" w:color="BFB5A5" w:sz="4"/>
            </w:tcBorders>
            <w:shd w:fill="F4ECDE" w:color="auto" w:val="clear"/>
            <w:tcMar>
              <w:top w:type="dxa" w:w="60"/>
              <w:left w:type="dxa" w:w="90"/>
              <w:bottom w:type="dxa" w:w="60"/>
              <w:right w:type="dxa" w:w="90"/>
            </w:tcMar>
          </w:tcPr>
          <w:p>
            <w:pPr>
              <w:spacing w:after="30" w:before="0"/>
            </w:pPr>
            <w:r>
              <w:rPr>
                <w:sz w:val="17"/>
                <w:szCs w:val="17"/>
              </w:rPr>
              <w:t xml:space="preserve">Folge</w:t>
            </w:r>
          </w:p>
        </w:tc>
        <w:tc>
          <w:tcPr>
            <w:tcW w:type="dxa" w:w="15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1, 7</w:t>
            </w:r>
          </w:p>
        </w:tc>
        <w:tc>
          <w:tcPr>
            <w:tcW w:type="dxa" w:w="6638"/>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Die Gefolgschaft des Adligen wird auf mehrere Phylen verteilt. Lysias sitzt, berät und kämpft mit Fremden zusammen.</w:t>
            </w:r>
          </w:p>
        </w:tc>
      </w:tr>
      <w:tr>
        <w:trPr>
          <w:cantSplit/>
        </w:trPr>
        <w:tc>
          <w:tcPr>
            <w:tcW w:type="dxa" w:w="1500"/>
            <w:tcBorders>
              <w:top w:val="single" w:color="BFB5A5" w:sz="4"/>
              <w:left w:val="single" w:color="BFB5A5" w:sz="4"/>
              <w:bottom w:val="single" w:color="BFB5A5" w:sz="4"/>
              <w:right w:val="single" w:color="BFB5A5" w:sz="4"/>
            </w:tcBorders>
            <w:shd w:fill="F4ECDE" w:color="auto" w:val="clear"/>
            <w:tcMar>
              <w:top w:type="dxa" w:w="60"/>
              <w:left w:type="dxa" w:w="90"/>
              <w:bottom w:type="dxa" w:w="60"/>
              <w:right w:type="dxa" w:w="90"/>
            </w:tcMar>
          </w:tcPr>
          <w:p>
            <w:pPr>
              <w:spacing w:after="30" w:before="0"/>
            </w:pPr>
            <w:r>
              <w:rPr>
                <w:sz w:val="17"/>
                <w:szCs w:val="17"/>
              </w:rPr>
              <w:t xml:space="preserve">Ergebnis</w:t>
            </w:r>
          </w:p>
        </w:tc>
        <w:tc>
          <w:tcPr>
            <w:tcW w:type="dxa" w:w="15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w:t>
            </w:r>
          </w:p>
        </w:tc>
        <w:tc>
          <w:tcPr>
            <w:tcW w:type="dxa" w:w="6638"/>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Lysias ist nicht mehr an seinen Adelsherrn gebunden – er kann sein Stimmrecht frei nutzen.</w:t>
            </w:r>
          </w:p>
        </w:tc>
      </w:tr>
      <w:tr>
        <w:trPr>
          <w:cantSplit/>
        </w:trPr>
        <w:tc>
          <w:tcPr>
            <w:tcW w:type="dxa" w:w="1500"/>
            <w:tcBorders>
              <w:top w:val="single" w:color="BFB5A5" w:sz="4"/>
              <w:left w:val="single" w:color="BFB5A5" w:sz="4"/>
              <w:bottom w:val="single" w:color="BFB5A5" w:sz="4"/>
              <w:right w:val="single" w:color="BFB5A5" w:sz="4"/>
            </w:tcBorders>
            <w:shd w:fill="F4ECDE" w:color="auto" w:val="clear"/>
            <w:tcMar>
              <w:top w:type="dxa" w:w="60"/>
              <w:left w:type="dxa" w:w="90"/>
              <w:bottom w:type="dxa" w:w="60"/>
              <w:right w:type="dxa" w:w="90"/>
            </w:tcMar>
          </w:tcPr>
          <w:p>
            <w:pPr>
              <w:spacing w:after="30" w:before="0"/>
            </w:pPr>
            <w:r>
              <w:rPr>
                <w:sz w:val="17"/>
                <w:szCs w:val="17"/>
              </w:rPr>
              <w:t xml:space="preserve">Zusatz</w:t>
            </w:r>
          </w:p>
        </w:tc>
        <w:tc>
          <w:tcPr>
            <w:tcW w:type="dxa" w:w="1500"/>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3</w:t>
            </w:r>
          </w:p>
        </w:tc>
        <w:tc>
          <w:tcPr>
            <w:tcW w:type="dxa" w:w="6638"/>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Gegen einen neuen Tyrannen hat das Volk jetzt den Ostrakismos.</w:t>
            </w:r>
          </w:p>
        </w:tc>
      </w:tr>
    </w:tbl>
    <w:p>
      <w:pPr>
        <w:spacing w:after="80" w:before="80"/>
      </w:pPr>
      <w:r>
        <w:rPr>
          <w:b/>
          <w:bCs/>
          <w:sz w:val="18"/>
          <w:szCs w:val="18"/>
        </w:rPr>
        <w:t xml:space="preserve">Kette mit Verbindungswörtern (eine mögliche Lösung):</w:t>
      </w:r>
      <w:r>
        <w:rPr>
          <w:sz w:val="18"/>
          <w:szCs w:val="18"/>
        </w:rPr>
        <w:t xml:space="preserve"> [4] – </w:t>
      </w:r>
      <w:r>
        <w:rPr>
          <w:b/>
          <w:bCs/>
          <w:sz w:val="18"/>
          <w:szCs w:val="18"/>
        </w:rPr>
        <w:t xml:space="preserve">aber</w:t>
      </w:r>
      <w:r>
        <w:rPr>
          <w:sz w:val="18"/>
          <w:szCs w:val="18"/>
        </w:rPr>
        <w:t xml:space="preserve"> [6] – </w:t>
      </w:r>
      <w:r>
        <w:rPr>
          <w:b/>
          <w:bCs/>
          <w:sz w:val="18"/>
          <w:szCs w:val="18"/>
        </w:rPr>
        <w:t xml:space="preserve">Doch dann</w:t>
      </w:r>
      <w:r>
        <w:rPr>
          <w:sz w:val="18"/>
          <w:szCs w:val="18"/>
        </w:rPr>
        <w:t xml:space="preserve"> [2] – </w:t>
      </w:r>
      <w:r>
        <w:rPr>
          <w:b/>
          <w:bCs/>
          <w:sz w:val="18"/>
          <w:szCs w:val="18"/>
        </w:rPr>
        <w:t xml:space="preserve">Daraufhin</w:t>
      </w:r>
      <w:r>
        <w:rPr>
          <w:sz w:val="18"/>
          <w:szCs w:val="18"/>
        </w:rPr>
        <w:t xml:space="preserve"> [8] – </w:t>
      </w:r>
      <w:r>
        <w:rPr>
          <w:b/>
          <w:bCs/>
          <w:sz w:val="18"/>
          <w:szCs w:val="18"/>
        </w:rPr>
        <w:t xml:space="preserve">Danach</w:t>
      </w:r>
      <w:r>
        <w:rPr>
          <w:sz w:val="18"/>
          <w:szCs w:val="18"/>
        </w:rPr>
        <w:t xml:space="preserve"> [5] – </w:t>
      </w:r>
      <w:r>
        <w:rPr>
          <w:b/>
          <w:bCs/>
          <w:sz w:val="18"/>
          <w:szCs w:val="18"/>
        </w:rPr>
        <w:t xml:space="preserve">Daraus</w:t>
      </w:r>
      <w:r>
        <w:rPr>
          <w:sz w:val="18"/>
          <w:szCs w:val="18"/>
        </w:rPr>
        <w:t xml:space="preserve"> [1] – </w:t>
      </w:r>
      <w:r>
        <w:rPr>
          <w:b/>
          <w:bCs/>
          <w:sz w:val="18"/>
          <w:szCs w:val="18"/>
        </w:rPr>
        <w:t xml:space="preserve">Dadurch</w:t>
      </w:r>
      <w:r>
        <w:rPr>
          <w:sz w:val="18"/>
          <w:szCs w:val="18"/>
        </w:rPr>
        <w:t xml:space="preserve"> [7] – </w:t>
      </w:r>
      <w:r>
        <w:rPr>
          <w:b/>
          <w:bCs/>
          <w:sz w:val="18"/>
          <w:szCs w:val="18"/>
        </w:rPr>
        <w:t xml:space="preserve">deshalb</w:t>
      </w:r>
      <w:r>
        <w:rPr>
          <w:sz w:val="18"/>
          <w:szCs w:val="18"/>
        </w:rPr>
        <w:t xml:space="preserve"> Lysias stimmt frei – </w:t>
      </w:r>
      <w:r>
        <w:rPr>
          <w:b/>
          <w:bCs/>
          <w:sz w:val="18"/>
          <w:szCs w:val="18"/>
        </w:rPr>
        <w:t xml:space="preserve">Außerdem</w:t>
      </w:r>
      <w:r>
        <w:rPr>
          <w:sz w:val="18"/>
          <w:szCs w:val="18"/>
        </w:rPr>
        <w:t xml:space="preserve"> [3]. Andere Verbindungen sind richtig, wenn sie sinnvoll begründen.</w:t>
      </w:r>
    </w:p>
    <w:p>
      <w:pPr>
        <w:spacing w:after="80" w:before="0"/>
      </w:pPr>
      <w:r>
        <w:rPr>
          <w:b/>
          <w:bCs/>
          <w:sz w:val="18"/>
          <w:szCs w:val="18"/>
        </w:rPr>
        <w:t xml:space="preserve">Musterantwort (Heft):</w:t>
      </w:r>
      <w:r>
        <w:rPr>
          <w:sz w:val="18"/>
          <w:szCs w:val="18"/>
        </w:rPr>
        <w:t xml:space="preserve"> „Vorher war Lysias von seinem adligen Nachbarn abhängig und stimmte deshalb mit dessen Familie, obwohl er seit Solon abstimmen durfte. Nach dem Sturz des Hippias setzte Kleisthenes mit Hilfe des Volkes eine Reform durch: Er teilte Attika in drei Gebiete und bildete zehn neue Phylen, die Stadt, Küste und Binnenland mischten. Dadurch wurden die Anhänger des Adligen auf verschiedene Phylen verteilt, und Lysias saß im Rat und im Heer mit Fremden zusammen. Deshalb kann er sein Stimmrecht jetzt frei nutzen.“</w:t>
      </w:r>
    </w:p>
    <w:p>
      <w:pPr>
        <w:keepNext/>
        <w:spacing w:after="100" w:before="220"/>
      </w:pPr>
      <w:r>
        <w:rPr>
          <w:rFonts w:ascii="Cambria" w:cs="Cambria" w:eastAsia="Cambria" w:hAnsi="Cambria"/>
          <w:b/>
          <w:bCs/>
          <w:color w:val="AD4426"/>
          <w:sz w:val="25"/>
          <w:szCs w:val="25"/>
        </w:rPr>
        <w:t xml:space="preserve">5. Beim Umhergehen: Stolpersteine und gestufte Hilfen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BFB5A5" w:sz="4"/>
              <w:left w:val="single" w:color="BFB5A5" w:sz="4"/>
              <w:bottom w:val="single" w:color="BFB5A5" w:sz="4"/>
              <w:right w:val="single" w:color="BFB5A5" w:sz="4"/>
            </w:tcBorders>
            <w:shd w:fill="2B2318" w:color="auto" w:val="clear"/>
            <w:tcMar>
              <w:top w:type="dxa" w:w="60"/>
              <w:left w:type="dxa" w:w="90"/>
              <w:bottom w:type="dxa" w:w="60"/>
              <w:right w:type="dxa" w:w="90"/>
            </w:tcMar>
          </w:tcPr>
          <w:p>
            <w:pPr>
              <w:spacing w:after="0" w:before="0"/>
            </w:pPr>
            <w:r>
              <w:rPr>
                <w:b/>
                <w:bCs/>
                <w:color w:val="FFFFFF"/>
                <w:sz w:val="17"/>
                <w:szCs w:val="17"/>
              </w:rPr>
              <w:t xml:space="preserve">Stolperstein</w:t>
            </w:r>
          </w:p>
        </w:tc>
        <w:tc>
          <w:tcPr>
            <w:tcW w:type="dxa" w:w="6338"/>
            <w:tcBorders>
              <w:top w:val="single" w:color="BFB5A5" w:sz="4"/>
              <w:left w:val="single" w:color="BFB5A5" w:sz="4"/>
              <w:bottom w:val="single" w:color="BFB5A5" w:sz="4"/>
              <w:right w:val="single" w:color="BFB5A5" w:sz="4"/>
            </w:tcBorders>
            <w:shd w:fill="2B2318" w:color="auto" w:val="clear"/>
            <w:tcMar>
              <w:top w:type="dxa" w:w="60"/>
              <w:left w:type="dxa" w:w="90"/>
              <w:bottom w:type="dxa" w:w="60"/>
              <w:right w:type="dxa" w:w="90"/>
            </w:tcMar>
          </w:tcPr>
          <w:p>
            <w:pPr>
              <w:spacing w:after="0" w:before="0"/>
            </w:pPr>
            <w:r>
              <w:rPr>
                <w:b/>
                <w:bCs/>
                <w:color w:val="FFFFFF"/>
                <w:sz w:val="17"/>
                <w:szCs w:val="17"/>
              </w:rPr>
              <w:t xml:space="preserve">Impuls</w:t>
            </w:r>
          </w:p>
        </w:tc>
      </w:tr>
      <w:tr>
        <w:trPr>
          <w:cantSplit/>
        </w:trPr>
        <w:tc>
          <w:tcPr>
            <w:tcW w:type="dxa" w:w="3300"/>
            <w:tcBorders>
              <w:top w:val="single" w:color="BFB5A5" w:sz="4"/>
              <w:left w:val="single" w:color="BFB5A5" w:sz="4"/>
              <w:bottom w:val="single" w:color="BFB5A5" w:sz="4"/>
              <w:right w:val="single" w:color="BFB5A5" w:sz="4"/>
            </w:tcBorders>
            <w:shd w:fill="F4ECDE" w:color="auto" w:val="clear"/>
            <w:tcMar>
              <w:top w:type="dxa" w:w="60"/>
              <w:left w:type="dxa" w:w="90"/>
              <w:bottom w:type="dxa" w:w="60"/>
              <w:right w:type="dxa" w:w="90"/>
            </w:tcMar>
          </w:tcPr>
          <w:p>
            <w:pPr>
              <w:spacing w:after="30" w:before="0"/>
            </w:pPr>
            <w:r>
              <w:rPr>
                <w:sz w:val="17"/>
                <w:szCs w:val="17"/>
              </w:rPr>
              <w:t xml:space="preserve">Die Gruppe sucht eine Enteignung oder neue Rechte.</w:t>
            </w:r>
          </w:p>
        </w:tc>
        <w:tc>
          <w:tcPr>
            <w:tcW w:type="dxa" w:w="6338"/>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„Steht in einem Abschnitt, dass jemand Land verliert? Was ändert Kleisthenes stattdessen?“</w:t>
            </w:r>
          </w:p>
        </w:tc>
      </w:tr>
      <w:tr>
        <w:trPr>
          <w:cantSplit/>
        </w:trPr>
        <w:tc>
          <w:tcPr>
            <w:tcW w:type="dxa" w:w="3300"/>
            <w:tcBorders>
              <w:top w:val="single" w:color="BFB5A5" w:sz="4"/>
              <w:left w:val="single" w:color="BFB5A5" w:sz="4"/>
              <w:bottom w:val="single" w:color="BFB5A5" w:sz="4"/>
              <w:right w:val="single" w:color="BFB5A5" w:sz="4"/>
            </w:tcBorders>
            <w:shd w:fill="F4ECDE" w:color="auto" w:val="clear"/>
            <w:tcMar>
              <w:top w:type="dxa" w:w="60"/>
              <w:left w:type="dxa" w:w="90"/>
              <w:bottom w:type="dxa" w:w="60"/>
              <w:right w:type="dxa" w:w="90"/>
            </w:tcMar>
          </w:tcPr>
          <w:p>
            <w:pPr>
              <w:spacing w:after="30" w:before="0"/>
            </w:pPr>
            <w:r>
              <w:rPr>
                <w:sz w:val="17"/>
                <w:szCs w:val="17"/>
              </w:rPr>
              <w:t xml:space="preserve">Die Ereignisse 510/508 (Sturz, Isagoras, Sparta) werden als Lösung genommen.</w:t>
            </w:r>
          </w:p>
        </w:tc>
        <w:tc>
          <w:tcPr>
            <w:tcW w:type="dxa" w:w="6338"/>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„Das erklärt, warum Kleisthenes an die Macht kommt. Aber warum stimmt Lysias anders?“</w:t>
            </w:r>
          </w:p>
        </w:tc>
      </w:tr>
      <w:tr>
        <w:trPr>
          <w:cantSplit/>
        </w:trPr>
        <w:tc>
          <w:tcPr>
            <w:tcW w:type="dxa" w:w="3300"/>
            <w:tcBorders>
              <w:top w:val="single" w:color="BFB5A5" w:sz="4"/>
              <w:left w:val="single" w:color="BFB5A5" w:sz="4"/>
              <w:bottom w:val="single" w:color="BFB5A5" w:sz="4"/>
              <w:right w:val="single" w:color="BFB5A5" w:sz="4"/>
            </w:tcBorders>
            <w:shd w:fill="F4ECDE" w:color="auto" w:val="clear"/>
            <w:tcMar>
              <w:top w:type="dxa" w:w="60"/>
              <w:left w:type="dxa" w:w="90"/>
              <w:bottom w:type="dxa" w:w="60"/>
              <w:right w:type="dxa" w:w="90"/>
            </w:tcMar>
          </w:tcPr>
          <w:p>
            <w:pPr>
              <w:spacing w:after="30" w:before="0"/>
            </w:pPr>
            <w:r>
              <w:rPr>
                <w:sz w:val="17"/>
                <w:szCs w:val="17"/>
              </w:rPr>
              <w:t xml:space="preserve">„Phyle“ wird mit „Demos“ verwechselt.</w:t>
            </w:r>
          </w:p>
        </w:tc>
        <w:tc>
          <w:tcPr>
            <w:tcW w:type="dxa" w:w="6338"/>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„Was ist kleiner: dein Dorf oder deine Phyle?“ (Folie 7)</w:t>
            </w:r>
          </w:p>
        </w:tc>
      </w:tr>
      <w:tr>
        <w:trPr>
          <w:cantSplit/>
        </w:trPr>
        <w:tc>
          <w:tcPr>
            <w:tcW w:type="dxa" w:w="3300"/>
            <w:tcBorders>
              <w:top w:val="single" w:color="BFB5A5" w:sz="4"/>
              <w:left w:val="single" w:color="BFB5A5" w:sz="4"/>
              <w:bottom w:val="single" w:color="BFB5A5" w:sz="4"/>
              <w:right w:val="single" w:color="BFB5A5" w:sz="4"/>
            </w:tcBorders>
            <w:shd w:fill="F4ECDE" w:color="auto" w:val="clear"/>
            <w:tcMar>
              <w:top w:type="dxa" w:w="60"/>
              <w:left w:type="dxa" w:w="90"/>
              <w:bottom w:type="dxa" w:w="60"/>
              <w:right w:type="dxa" w:w="90"/>
            </w:tcMar>
          </w:tcPr>
          <w:p>
            <w:pPr>
              <w:spacing w:after="30" w:before="0"/>
            </w:pPr>
            <w:r>
              <w:rPr>
                <w:sz w:val="17"/>
                <w:szCs w:val="17"/>
              </w:rPr>
              <w:t xml:space="preserve">Die Kette endet bei „Kleisthenes bildet zehn Phylen“.</w:t>
            </w:r>
          </w:p>
        </w:tc>
        <w:tc>
          <w:tcPr>
            <w:tcW w:type="dxa" w:w="6338"/>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„Und was heißt das für Lysias und seinen Nachbarn? Lest Abschnitt 1 (letzter Satz) und 7.“</w:t>
            </w:r>
          </w:p>
        </w:tc>
      </w:tr>
      <w:tr>
        <w:trPr>
          <w:cantSplit/>
        </w:trPr>
        <w:tc>
          <w:tcPr>
            <w:tcW w:type="dxa" w:w="3300"/>
            <w:tcBorders>
              <w:top w:val="single" w:color="BFB5A5" w:sz="4"/>
              <w:left w:val="single" w:color="BFB5A5" w:sz="4"/>
              <w:bottom w:val="single" w:color="BFB5A5" w:sz="4"/>
              <w:right w:val="single" w:color="BFB5A5" w:sz="4"/>
            </w:tcBorders>
            <w:shd w:fill="F4ECDE" w:color="auto" w:val="clear"/>
            <w:tcMar>
              <w:top w:type="dxa" w:w="60"/>
              <w:left w:type="dxa" w:w="90"/>
              <w:bottom w:type="dxa" w:w="60"/>
              <w:right w:type="dxa" w:w="90"/>
            </w:tcMar>
          </w:tcPr>
          <w:p>
            <w:pPr>
              <w:spacing w:after="30" w:before="0"/>
            </w:pPr>
            <w:r>
              <w:rPr>
                <w:sz w:val="17"/>
                <w:szCs w:val="17"/>
              </w:rPr>
              <w:t xml:space="preserve">Ostrakismos wird zur Hauptursache.</w:t>
            </w:r>
          </w:p>
        </w:tc>
        <w:tc>
          <w:tcPr>
            <w:tcW w:type="dxa" w:w="6338"/>
            <w:tcBorders>
              <w:top w:val="single" w:color="BFB5A5" w:sz="4"/>
              <w:left w:val="single" w:color="BFB5A5" w:sz="4"/>
              <w:bottom w:val="single" w:color="BFB5A5" w:sz="4"/>
              <w:right w:val="single" w:color="BFB5A5" w:sz="4"/>
            </w:tcBorders>
            <w:tcMar>
              <w:top w:type="dxa" w:w="60"/>
              <w:left w:type="dxa" w:w="90"/>
              <w:bottom w:type="dxa" w:w="60"/>
              <w:right w:type="dxa" w:w="90"/>
            </w:tcMar>
          </w:tcPr>
          <w:p>
            <w:pPr>
              <w:spacing w:after="30" w:before="0"/>
            </w:pPr>
            <w:r>
              <w:rPr>
                <w:sz w:val="17"/>
                <w:szCs w:val="17"/>
              </w:rPr>
              <w:t xml:space="preserve">„Hilft das Scherbengericht Lysias bei der Abstimmung im Alltag – oder gegen wen ist es gedacht?“</w:t>
            </w:r>
          </w:p>
        </w:tc>
      </w:tr>
    </w:tbl>
    <w:p>
      <w:pPr>
        <w:spacing w:after="80" w:before="80"/>
      </w:pPr>
      <w:r>
        <w:rPr>
          <w:b/>
          <w:bCs/>
          <w:sz w:val="18"/>
          <w:szCs w:val="18"/>
        </w:rPr>
        <w:t xml:space="preserve">Gestufte Hilfen am Pult:</w:t>
      </w:r>
      <w:r>
        <w:rPr>
          <w:sz w:val="18"/>
          <w:szCs w:val="18"/>
        </w:rPr>
        <w:t xml:space="preserve"> Hilfe 1 – in drei Stapel sortieren (Vorher, Wende, Nachher). Hilfe 2 – Abschnitt 6 und 1 vergleichen (alte und neue Phylen). Hilfe 3 – Abschnitt 1 (letzter Satz) und 7: Wo landen die Anhänger des Nachbarn, mit wem ist Lysias zusammen?</w:t>
      </w:r>
    </w:p>
    <w:p>
      <w:pPr>
        <w:keepNext/>
        <w:spacing w:after="100" w:before="220"/>
      </w:pPr>
      <w:r>
        <w:rPr>
          <w:rFonts w:ascii="Cambria" w:cs="Cambria" w:eastAsia="Cambria" w:hAnsi="Cambria"/>
          <w:b/>
          <w:bCs/>
          <w:color w:val="AD4426"/>
          <w:sz w:val="25"/>
          <w:szCs w:val="25"/>
        </w:rPr>
        <w:t xml:space="preserve">6. Tafelskizze</w:t>
      </w:r>
    </w:p>
    <w:p>
      <w:pPr>
        <w:keepNext/>
        <w:spacing w:after="80" w:before="0"/>
      </w:pPr>
      <w:r>
        <w:rPr>
          <w:b/>
          <w:bCs/>
          <w:sz w:val="18"/>
          <w:szCs w:val="18"/>
        </w:rPr>
        <w:t xml:space="preserve">Hauptfläche:</w:t>
      </w:r>
      <w:r>
        <w:rPr>
          <w:sz w:val="18"/>
          <w:szCs w:val="18"/>
        </w:rPr>
        <w:t xml:space="preserve"> zuerst die Kette Ausgangslage → Wende → Reform → Folge → Ergebnis (Stichworte der Gruppen), dann die Phylen-Skizze:</w:t>
      </w:r>
    </w:p>
    <w:p>
      <w:pPr>
        <w:spacing w:after="60"/>
        <w:jc w:val="center"/>
      </w:pPr>
      <w:r>
        <w:drawing>
          <wp:inline distT="0" distB="0" distL="0" distR="0">
            <wp:extent cx="4953000" cy="27908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90825"/>
                    </a:xfrm>
                    <a:prstGeom prst="rect">
                      <a:avLst/>
                    </a:prstGeom>
                  </pic:spPr>
                </pic:pic>
              </a:graphicData>
            </a:graphic>
          </wp:inline>
        </w:drawing>
      </w:r>
    </w:p>
    <w:p>
      <w:pPr>
        <w:spacing w:after="80" w:before="0"/>
      </w:pPr>
      <w:r>
        <w:rPr>
          <w:color w:val="5A5044"/>
          <w:sz w:val="17"/>
          <w:szCs w:val="17"/>
        </w:rPr>
        <w:t xml:space="preserve">Schnell zu zeichnen: drei Reihen à 10 Kästchen (Stadt, Küste, Binnenland, in drei Kreidefarben), Pfeil „per Los“, zehn Säulen aus je drei farbigen Kästchen, darunter „× 50 = Rat der 500“.</w:t>
      </w:r>
    </w:p>
    <w:p>
      <w:pPr>
        <w:keepNext/>
        <w:spacing w:after="100" w:before="220"/>
      </w:pPr>
      <w:r>
        <w:rPr>
          <w:rFonts w:ascii="Cambria" w:cs="Cambria" w:eastAsia="Cambria" w:hAnsi="Cambria"/>
          <w:b/>
          <w:bCs/>
          <w:color w:val="AD4426"/>
          <w:sz w:val="25"/>
          <w:szCs w:val="25"/>
        </w:rPr>
        <w:t xml:space="preserve">7. Abschlussaufgabe – mögliche Argumente</w:t>
      </w:r>
    </w:p>
    <w:p>
      <w:pPr>
        <w:spacing w:after="50" w:before="0"/>
      </w:pPr>
      <w:r>
        <w:rPr>
          <w:sz w:val="19"/>
          <w:szCs w:val="19"/>
        </w:rPr>
        <w:t xml:space="preserve">–  Solon gab allen Bürgern das Stimmrecht und das Klagerecht – aber die Bauern blieben an ihre Adelsherren gebunden.</w:t>
      </w:r>
    </w:p>
    <w:p>
      <w:pPr>
        <w:spacing w:after="50" w:before="0"/>
      </w:pPr>
      <w:r>
        <w:rPr>
          <w:sz w:val="19"/>
          <w:szCs w:val="19"/>
        </w:rPr>
        <w:t xml:space="preserve">–  Kleisthenes änderte nicht die Rechte (Vermögensklassen, Ämter), sondern die Ordnung der Bürgerschaft: neue, gemischte Phylen.</w:t>
      </w:r>
    </w:p>
    <w:p>
      <w:pPr>
        <w:spacing w:after="50" w:before="0"/>
      </w:pPr>
      <w:r>
        <w:rPr>
          <w:sz w:val="19"/>
          <w:szCs w:val="19"/>
        </w:rPr>
        <w:t xml:space="preserve">–  Die Gefolgschaft eines Adligen wurde zerteilt; im Rat der 500 und im Heer saßen Bürger aus allen Gebieten zusammen.</w:t>
      </w:r>
    </w:p>
    <w:p>
      <w:pPr>
        <w:spacing w:after="50" w:before="0"/>
      </w:pPr>
      <w:r>
        <w:rPr>
          <w:sz w:val="19"/>
          <w:szCs w:val="19"/>
        </w:rPr>
        <w:t xml:space="preserve">–  Bürger ist, wer zu seinem Demos gehört – nicht, aus welcher Familie er kommt (Isonomie: gleiche Ordnung für alle Bürger).</w:t>
      </w:r>
    </w:p>
    <w:p>
      <w:pPr>
        <w:spacing w:after="50" w:before="0"/>
      </w:pPr>
      <w:r>
        <w:rPr>
          <w:sz w:val="19"/>
          <w:szCs w:val="19"/>
        </w:rPr>
        <w:t xml:space="preserve">–  Zusatz: Mit dem Ostrakismos kann das Volk einen neuen Tyrannen verhindern.</w:t>
      </w:r>
    </w:p>
    <w:p>
      <w:pPr>
        <w:keepNext/>
        <w:spacing w:after="100" w:before="220"/>
      </w:pPr>
      <w:r>
        <w:rPr>
          <w:rFonts w:ascii="Cambria" w:cs="Cambria" w:eastAsia="Cambria" w:hAnsi="Cambria"/>
          <w:b/>
          <w:bCs/>
          <w:color w:val="AD4426"/>
          <w:sz w:val="25"/>
          <w:szCs w:val="25"/>
        </w:rPr>
        <w:t xml:space="preserve">8. Sachinformationen zu Kleisthenes</w:t>
      </w:r>
    </w:p>
    <w:p>
      <w:pPr>
        <w:spacing w:after="80" w:before="0"/>
      </w:pPr>
      <w:r>
        <w:rPr>
          <w:color w:val="5A5044"/>
          <w:sz w:val="17"/>
          <w:szCs w:val="17"/>
        </w:rPr>
        <w:t xml:space="preserve">Quellen: Herodot, Historien 5,66–78; Aristoteles, Staat der Athener 20–22; Lehrbuch „Die antike Welt“, S. 16 f. Lysias ist erfunden; Paiania (Binnenland) gehörte tatsächlich zur Phyle Pandionis.</w:t>
      </w:r>
    </w:p>
    <w:p>
      <w:pPr>
        <w:spacing w:after="50" w:before="0"/>
      </w:pPr>
      <w:r>
        <w:rPr>
          <w:sz w:val="19"/>
          <w:szCs w:val="19"/>
        </w:rPr>
        <w:t xml:space="preserve">–  Kleisthenes war </w:t>
      </w:r>
      <w:r>
        <w:rPr>
          <w:b/>
          <w:bCs/>
          <w:sz w:val="19"/>
          <w:szCs w:val="19"/>
        </w:rPr>
        <w:t xml:space="preserve">Alkmeonide</w:t>
      </w:r>
      <w:r>
        <w:rPr>
          <w:sz w:val="19"/>
          <w:szCs w:val="19"/>
        </w:rPr>
        <w:t xml:space="preserve">, unter Hippias selbst Archon (525/24). Nach 510 Machtkampf mit </w:t>
      </w:r>
      <w:r>
        <w:rPr>
          <w:b/>
          <w:bCs/>
          <w:sz w:val="19"/>
          <w:szCs w:val="19"/>
        </w:rPr>
        <w:t xml:space="preserve">Isagoras</w:t>
      </w:r>
      <w:r>
        <w:rPr>
          <w:sz w:val="19"/>
          <w:szCs w:val="19"/>
        </w:rPr>
        <w:t xml:space="preserve"> (Archon 508/07). Kleisthenes gewann das Volk für sich; Isagoras holte den spartanischen König Kleomenes, rund 700 Familien wurden verbannt. Das </w:t>
      </w:r>
      <w:r>
        <w:rPr>
          <w:b/>
          <w:bCs/>
          <w:sz w:val="19"/>
          <w:szCs w:val="19"/>
        </w:rPr>
        <w:t xml:space="preserve">Volk</w:t>
      </w:r>
      <w:r>
        <w:rPr>
          <w:sz w:val="19"/>
          <w:szCs w:val="19"/>
        </w:rPr>
        <w:t xml:space="preserve"> belagerte die Spartaner auf der Akropolis und erzwang ihren Abzug – danach Reformen 508/07.</w:t>
      </w:r>
    </w:p>
    <w:p>
      <w:pPr>
        <w:spacing w:after="50" w:before="0"/>
      </w:pPr>
      <w:r>
        <w:rPr>
          <w:sz w:val="19"/>
          <w:szCs w:val="19"/>
        </w:rPr>
        <w:t xml:space="preserve">–  </w:t>
      </w:r>
      <w:r>
        <w:rPr>
          <w:b/>
          <w:bCs/>
          <w:sz w:val="19"/>
          <w:szCs w:val="19"/>
        </w:rPr>
        <w:t xml:space="preserve">Demen</w:t>
      </w:r>
      <w:r>
        <w:rPr>
          <w:sz w:val="19"/>
          <w:szCs w:val="19"/>
        </w:rPr>
        <w:t xml:space="preserve"> (rund 139, Zahl modern rekonstruiert) als Grundeinheit; Bürgerliste im Demos; Name nach dem Demos (z. B. „Perikles aus Cholargos“).</w:t>
      </w:r>
    </w:p>
    <w:p>
      <w:pPr>
        <w:spacing w:after="50" w:before="0"/>
      </w:pPr>
      <w:r>
        <w:rPr>
          <w:sz w:val="19"/>
          <w:szCs w:val="19"/>
        </w:rPr>
        <w:t xml:space="preserve">–  </w:t>
      </w:r>
      <w:r>
        <w:rPr>
          <w:b/>
          <w:bCs/>
          <w:sz w:val="19"/>
          <w:szCs w:val="19"/>
        </w:rPr>
        <w:t xml:space="preserve">3 Gebiete</w:t>
      </w:r>
      <w:r>
        <w:rPr>
          <w:sz w:val="19"/>
          <w:szCs w:val="19"/>
        </w:rPr>
        <w:t xml:space="preserve"> (Stadt, Küste, Binnenland) × </w:t>
      </w:r>
      <w:r>
        <w:rPr>
          <w:b/>
          <w:bCs/>
          <w:sz w:val="19"/>
          <w:szCs w:val="19"/>
        </w:rPr>
        <w:t xml:space="preserve">10 Trittyen</w:t>
      </w:r>
      <w:r>
        <w:rPr>
          <w:sz w:val="19"/>
          <w:szCs w:val="19"/>
        </w:rPr>
        <w:t xml:space="preserve"> = 30 Trittyen; </w:t>
      </w:r>
      <w:r>
        <w:rPr>
          <w:b/>
          <w:bCs/>
          <w:sz w:val="19"/>
          <w:szCs w:val="19"/>
        </w:rPr>
        <w:t xml:space="preserve">10 Phylen</w:t>
      </w:r>
      <w:r>
        <w:rPr>
          <w:sz w:val="19"/>
          <w:szCs w:val="19"/>
        </w:rPr>
        <w:t xml:space="preserve"> aus je einer Trittys pro Gebiet, durch das Los zugeteilt. Die vier alten Phylen verlieren ihre politische Bedeutung.</w:t>
      </w:r>
    </w:p>
    <w:p>
      <w:pPr>
        <w:spacing w:after="50" w:before="0"/>
      </w:pPr>
      <w:r>
        <w:rPr>
          <w:sz w:val="19"/>
          <w:szCs w:val="19"/>
        </w:rPr>
        <w:t xml:space="preserve">–  </w:t>
      </w:r>
      <w:r>
        <w:rPr>
          <w:b/>
          <w:bCs/>
          <w:sz w:val="19"/>
          <w:szCs w:val="19"/>
        </w:rPr>
        <w:t xml:space="preserve">Rat der 500:</w:t>
      </w:r>
      <w:r>
        <w:rPr>
          <w:sz w:val="19"/>
          <w:szCs w:val="19"/>
        </w:rPr>
        <w:t xml:space="preserve"> 50 pro Phyle, nach Größe der Demen; Mindestalter 30; bereitet die Volksversammlung vor. Prytanien und Losverfahren für den Rat sind für Kleisthenes' Zeit umstritten.</w:t>
      </w:r>
    </w:p>
    <w:p>
      <w:pPr>
        <w:spacing w:after="50" w:before="0"/>
      </w:pPr>
      <w:r>
        <w:rPr>
          <w:sz w:val="19"/>
          <w:szCs w:val="19"/>
        </w:rPr>
        <w:t xml:space="preserve">–  </w:t>
      </w:r>
      <w:r>
        <w:rPr>
          <w:b/>
          <w:bCs/>
          <w:sz w:val="19"/>
          <w:szCs w:val="19"/>
        </w:rPr>
        <w:t xml:space="preserve">Ostrakismos:</w:t>
      </w:r>
      <w:r>
        <w:rPr>
          <w:sz w:val="19"/>
          <w:szCs w:val="19"/>
        </w:rPr>
        <w:t xml:space="preserve"> Aristoteles schreibt ihn Kleisthenes zu; erst 488/87 angewendet. 6000 Stimmen (umstritten, ob insgesamt oder gegen eine Person), 10 Jahre Verbannung ohne Verlust von Vermögen und Bürgerrecht. Ab 501/500 zehn Strategen, je einer pro Phyle.</w:t>
      </w:r>
    </w:p>
    <w:p>
      <w:pPr>
        <w:spacing w:after="50" w:before="0"/>
      </w:pPr>
      <w:r>
        <w:rPr>
          <w:sz w:val="19"/>
          <w:szCs w:val="19"/>
        </w:rPr>
        <w:t xml:space="preserve">–  </w:t>
      </w:r>
      <w:r>
        <w:rPr>
          <w:b/>
          <w:bCs/>
          <w:sz w:val="19"/>
          <w:szCs w:val="19"/>
        </w:rPr>
        <w:t xml:space="preserve">Unverändert:</w:t>
      </w:r>
      <w:r>
        <w:rPr>
          <w:sz w:val="19"/>
          <w:szCs w:val="19"/>
        </w:rPr>
        <w:t xml:space="preserve"> Solons Vermögensklassen, Archonten aus den oberen Klassen, Areopag (bis 462). Frauen, Sklaven und Fremde ausgeschlossen. Leitbegriff </w:t>
      </w:r>
      <w:r>
        <w:rPr>
          <w:b/>
          <w:bCs/>
          <w:sz w:val="19"/>
          <w:szCs w:val="19"/>
        </w:rPr>
        <w:t xml:space="preserve">Isonomie</w:t>
      </w:r>
      <w:r>
        <w:rPr>
          <w:sz w:val="19"/>
          <w:szCs w:val="19"/>
        </w:rPr>
        <w:t xml:space="preserve"> (gleiche Ordnung); das Wort „Demokratie“ ist erst später belegt.</w:t>
      </w:r>
    </w:p>
    <w:p>
      <w:pPr>
        <w:keepNext/>
        <w:spacing w:after="100" w:before="220"/>
      </w:pPr>
      <w:r>
        <w:rPr>
          <w:rFonts w:ascii="Cambria" w:cs="Cambria" w:eastAsia="Cambria" w:hAnsi="Cambria"/>
          <w:b/>
          <w:bCs/>
          <w:color w:val="AD4426"/>
          <w:sz w:val="25"/>
          <w:szCs w:val="25"/>
        </w:rPr>
        <w:t xml:space="preserve">9. Ausblick Mittwoch</w:t>
      </w:r>
    </w:p>
    <w:p>
      <w:pPr>
        <w:spacing w:after="80" w:before="0"/>
      </w:pPr>
      <w:r>
        <w:rPr>
          <w:sz w:val="19"/>
          <w:szCs w:val="19"/>
        </w:rPr>
        <w:t xml:space="preserve">Test, danach Doppelstunde Quellenanalyse mit Schreibplan – vorgeschlagen an Aristoteles, Staat der Athener 20–21 (die Reform des Kleisthenes in seinen Worten, etwa 180 Jahre später geschrieben). Als Wiederholung vor dem Test eignet sich ein fehlerhafter Lexikonartikel zu Kleisthenes.</w:t>
      </w:r>
    </w:p>
    <w:sectPr>
      <w:headerReference w:type="default" r:id="rId6"/>
      <w:footerReference w:type="default" r:id="rId7"/>
      <w:pgSz w:w="11906" w:h="16838" w:orient="portrait"/>
      <w:pgMar w:top="900" w:right="1134" w:bottom="8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8C77"/>
        <w:sz w:val="16"/>
        <w:szCs w:val="16"/>
      </w:rPr>
      <w:fldChar w:fldCharType="begin"/>
    </w:r>
    <w:r>
      <w:rPr>
        <w:color w:val="998C77"/>
        <w:sz w:val="16"/>
        <w:szCs w:val="16"/>
      </w:rPr>
      <w:instrText xml:space="preserve">PAGE</w:instrText>
    </w:r>
    <w:r>
      <w:rPr>
        <w:color w:val="998C77"/>
        <w:sz w:val="16"/>
        <w:szCs w:val="16"/>
      </w:rPr>
      <w:fldChar w:fldCharType="separate"/>
    </w:r>
    <w:r>
      <w:rPr>
        <w:color w:val="998C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8C77"/>
        <w:sz w:val="16"/>
        <w:szCs w:val="16"/>
      </w:rPr>
      <w:t xml:space="preserve">Geschichte · Klasse 11 · Handreichung „Kleisthenes“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318"/>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79bfcba88940818dc189e9442110236d842c95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2026-10-28T15:18:21.538Z</dcterms:created>
  <dcterms:modified xsi:type="dcterms:W3CDTF">2026-10-28T15:18:21.538Z</dcterms:modified>
</cp:coreProperties>
</file>

<file path=docProps/custom.xml><?xml version="1.0" encoding="utf-8"?>
<Properties xmlns="http://schemas.openxmlformats.org/officeDocument/2006/custom-properties" xmlns:vt="http://schemas.openxmlformats.org/officeDocument/2006/docPropsVTypes"/>
</file>