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450"/>
        <w:gridCol w:w="5450"/>
      </w:tblGrid>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A</w:t>
                  </w:r>
                </w:p>
                <w:p>
                  <w:pPr>
                    <w:spacing w:after="80" w:before="0"/>
                  </w:pPr>
                  <w:r>
                    <w:rPr>
                      <w:rFonts w:ascii="Calibri" w:cs="Calibri" w:eastAsia="Calibri" w:hAnsi="Calibri"/>
                      <w:b/>
                      <w:bCs/>
                      <w:color w:val="2B2318"/>
                      <w:sz w:val="20"/>
                      <w:szCs w:val="20"/>
                    </w:rPr>
                    <w:t xml:space="preserve">Lykon, Thete (Tagelöhner)</w:t>
                  </w:r>
                </w:p>
                <w:p>
                  <w:pPr>
                    <w:spacing w:after="140" w:before="0"/>
                  </w:pPr>
                  <w:r>
                    <w:rPr>
                      <w:rFonts w:ascii="Calibri" w:cs="Calibri" w:eastAsia="Calibri" w:hAnsi="Calibri"/>
                      <w:i/>
                      <w:iCs/>
                      <w:color w:val="2B2318"/>
                      <w:sz w:val="22"/>
                      <w:szCs w:val="22"/>
                    </w:rPr>
                    <w:t xml:space="preserve">„Athen überlegt, in den Krieg zu ziehen. Darf ich mitentscheiden? Und wie läuft so eine Entscheidung ab?“</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Als Bürger über 20 gehörst du zur Volksversammlung, und dort wird über Krieg und Frieden abgestimmt. Der Ablauf: Der Rat der 400 bereitet die Entscheidung vor, die Volksversammlung beschließt, die Archonten führen sie aus.</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Volksversammlung · Rat der 400 · Archonten</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B</w:t>
                  </w:r>
                </w:p>
                <w:p>
                  <w:pPr>
                    <w:spacing w:after="80" w:before="0"/>
                  </w:pPr>
                  <w:r>
                    <w:rPr>
                      <w:rFonts w:ascii="Calibri" w:cs="Calibri" w:eastAsia="Calibri" w:hAnsi="Calibri"/>
                      <w:b/>
                      <w:bCs/>
                      <w:color w:val="2B2318"/>
                      <w:sz w:val="20"/>
                      <w:szCs w:val="20"/>
                    </w:rPr>
                    <w:t xml:space="preserve">Kleitos, Ritter (2. Klasse)</w:t>
                  </w:r>
                </w:p>
                <w:p>
                  <w:pPr>
                    <w:spacing w:after="140" w:before="0"/>
                  </w:pPr>
                  <w:r>
                    <w:rPr>
                      <w:rFonts w:ascii="Calibri" w:cs="Calibri" w:eastAsia="Calibri" w:hAnsi="Calibri"/>
                      <w:i/>
                      <w:iCs/>
                      <w:color w:val="2B2318"/>
                      <w:sz w:val="22"/>
                      <w:szCs w:val="22"/>
                    </w:rPr>
                    <w:t xml:space="preserve">„Ich möchte in den Rat der 400. Geht das? Und wer wählt mich?“</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Die Klassen 1 bis 3 dürfen gewählt werden. Den Rat wählen die vier Phylen. Als Ratsmitglied bereitest du die Beschlüsse der Volksversammlung vor. Archont kannst du als Ritter aber nicht werden – dafür bräuchtest du 500 Scheffel.</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Rat der 400 · Phylen · Volksversammlung</w:t>
                  </w:r>
                </w:p>
              </w:tc>
            </w:tr>
          </w:tbl>
          <w:p>
            <w:pPr>
              <w:spacing w:after="0"/>
            </w:pPr>
          </w:p>
        </w:tc>
      </w:tr>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C</w:t>
                  </w:r>
                </w:p>
                <w:p>
                  <w:pPr>
                    <w:spacing w:after="80" w:before="0"/>
                  </w:pPr>
                  <w:r>
                    <w:rPr>
                      <w:rFonts w:ascii="Calibri" w:cs="Calibri" w:eastAsia="Calibri" w:hAnsi="Calibri"/>
                      <w:b/>
                      <w:bCs/>
                      <w:color w:val="2B2318"/>
                      <w:sz w:val="20"/>
                      <w:szCs w:val="20"/>
                    </w:rPr>
                    <w:t xml:space="preserve">Demeas, Kleinbauer</w:t>
                  </w:r>
                </w:p>
                <w:p>
                  <w:pPr>
                    <w:spacing w:after="140" w:before="0"/>
                  </w:pPr>
                  <w:r>
                    <w:rPr>
                      <w:rFonts w:ascii="Calibri" w:cs="Calibri" w:eastAsia="Calibri" w:hAnsi="Calibri"/>
                      <w:i/>
                      <w:iCs/>
                      <w:color w:val="2B2318"/>
                      <w:sz w:val="22"/>
                      <w:szCs w:val="22"/>
                    </w:rPr>
                    <w:t xml:space="preserve">„Ein Beamter hat mich ungerecht behandelt. Kann ich etwas dagegen tun?“</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Seit Solon darf jeder Bürger klagen – vor der Volksversammlung oder vor einem Geschworenengericht. Die Volksversammlung entscheidet über Klagen gegen die Amtsführung der Beamten. Außerdem beaufsichtigt der Areopag die Beamten.</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Geschworenengericht · Volksversammlung · Areopag</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D</w:t>
                  </w:r>
                </w:p>
                <w:p>
                  <w:pPr>
                    <w:spacing w:after="80" w:before="0"/>
                  </w:pPr>
                  <w:r>
                    <w:rPr>
                      <w:rFonts w:ascii="Calibri" w:cs="Calibri" w:eastAsia="Calibri" w:hAnsi="Calibri"/>
                      <w:b/>
                      <w:bCs/>
                      <w:color w:val="2B2318"/>
                      <w:sz w:val="20"/>
                      <w:szCs w:val="20"/>
                    </w:rPr>
                    <w:t xml:space="preserve">Philon, ehemaliger Archont</w:t>
                  </w:r>
                </w:p>
                <w:p>
                  <w:pPr>
                    <w:spacing w:after="140" w:before="0"/>
                  </w:pPr>
                  <w:r>
                    <w:rPr>
                      <w:rFonts w:ascii="Calibri" w:cs="Calibri" w:eastAsia="Calibri" w:hAnsi="Calibri"/>
                      <w:i/>
                      <w:iCs/>
                      <w:color w:val="2B2318"/>
                      <w:sz w:val="22"/>
                      <w:szCs w:val="22"/>
                    </w:rPr>
                    <w:t xml:space="preserve">„Mein Amtsjahr als Archont ist vorbei. Was wird jetzt aus mir?“</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Du wirst Mitglied im Areopag. Er besteht aus ehemaligen Archonten, beaufsichtigt die Verfassung und die Amtsführung der Beamten und richtet bei Mord (Blutgerichtsbarkeit). Weil nur die 1. Klasse Archont werden kann, sitzen im Areopag nur Reiche.</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Archonten · Areopag</w:t>
                  </w:r>
                </w:p>
              </w:tc>
            </w:tr>
          </w:tbl>
          <w:p>
            <w:pPr>
              <w:spacing w:after="0"/>
            </w:pPr>
          </w:p>
        </w:tc>
      </w:tr>
    </w:tbl>
    <w:p>
      <w:pPr>
        <w:sectPr>
          <w:pgSz w:w="11906" w:h="16838" w:orient="portrait"/>
          <w:pgMar w:top="500" w:right="500" w:bottom="300" w:left="500" w:header="708" w:footer="708" w:gutter="0"/>
          <w:pgNumType/>
          <w:docGrid w:linePitch="360"/>
        </w:sectPr>
      </w:pP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450"/>
        <w:gridCol w:w="5450"/>
      </w:tblGrid>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E</w:t>
                  </w:r>
                </w:p>
                <w:p>
                  <w:pPr>
                    <w:spacing w:after="80" w:before="0"/>
                  </w:pPr>
                  <w:r>
                    <w:rPr>
                      <w:rFonts w:ascii="Calibri" w:cs="Calibri" w:eastAsia="Calibri" w:hAnsi="Calibri"/>
                      <w:b/>
                      <w:bCs/>
                      <w:color w:val="2B2318"/>
                      <w:sz w:val="20"/>
                      <w:szCs w:val="20"/>
                    </w:rPr>
                    <w:t xml:space="preserve">Kallippos, Hoplit (3. Klasse)</w:t>
                  </w:r>
                </w:p>
                <w:p>
                  <w:pPr>
                    <w:spacing w:after="140" w:before="0"/>
                  </w:pPr>
                  <w:r>
                    <w:rPr>
                      <w:rFonts w:ascii="Calibri" w:cs="Calibri" w:eastAsia="Calibri" w:hAnsi="Calibri"/>
                      <w:i/>
                      <w:iCs/>
                      <w:color w:val="2B2318"/>
                      <w:sz w:val="22"/>
                      <w:szCs w:val="22"/>
                    </w:rPr>
                    <w:t xml:space="preserve">„Meine Ernte ist auf 520 Scheffel gestiegen. Ändert das etwas für mich?“</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Vermögensklassen · Archonten</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E</w:t>
                  </w:r>
                </w:p>
                <w:p>
                  <w:pPr>
                    <w:spacing w:after="80" w:before="0"/>
                  </w:pPr>
                  <w:r>
                    <w:rPr>
                      <w:rFonts w:ascii="Calibri" w:cs="Calibri" w:eastAsia="Calibri" w:hAnsi="Calibri"/>
                      <w:b/>
                      <w:bCs/>
                      <w:color w:val="2B2318"/>
                      <w:sz w:val="20"/>
                      <w:szCs w:val="20"/>
                    </w:rPr>
                    <w:t xml:space="preserve">Kallippos, Hoplit (3. Klasse)</w:t>
                  </w:r>
                </w:p>
                <w:p>
                  <w:pPr>
                    <w:spacing w:after="140" w:before="0"/>
                  </w:pPr>
                  <w:r>
                    <w:rPr>
                      <w:rFonts w:ascii="Calibri" w:cs="Calibri" w:eastAsia="Calibri" w:hAnsi="Calibri"/>
                      <w:i/>
                      <w:iCs/>
                      <w:color w:val="2B2318"/>
                      <w:sz w:val="22"/>
                      <w:szCs w:val="22"/>
                    </w:rPr>
                    <w:t xml:space="preserve">„Meine Ernte ist auf 520 Scheffel gestiegen. Ändert das etwas für mich?“</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Vermögensklassen · Archonten</w:t>
                  </w:r>
                </w:p>
              </w:tc>
            </w:tr>
          </w:tbl>
          <w:p>
            <w:pPr>
              <w:spacing w:after="0"/>
            </w:pPr>
          </w:p>
        </w:tc>
      </w:tr>
      <w:tr>
        <w:trPr>
          <w:cantSplit/>
        </w:trPr>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E</w:t>
                  </w:r>
                </w:p>
                <w:p>
                  <w:pPr>
                    <w:spacing w:after="80" w:before="0"/>
                  </w:pPr>
                  <w:r>
                    <w:rPr>
                      <w:rFonts w:ascii="Calibri" w:cs="Calibri" w:eastAsia="Calibri" w:hAnsi="Calibri"/>
                      <w:b/>
                      <w:bCs/>
                      <w:color w:val="2B2318"/>
                      <w:sz w:val="20"/>
                      <w:szCs w:val="20"/>
                    </w:rPr>
                    <w:t xml:space="preserve">Kallippos, Hoplit (3. Klasse)</w:t>
                  </w:r>
                </w:p>
                <w:p>
                  <w:pPr>
                    <w:spacing w:after="140" w:before="0"/>
                  </w:pPr>
                  <w:r>
                    <w:rPr>
                      <w:rFonts w:ascii="Calibri" w:cs="Calibri" w:eastAsia="Calibri" w:hAnsi="Calibri"/>
                      <w:i/>
                      <w:iCs/>
                      <w:color w:val="2B2318"/>
                      <w:sz w:val="22"/>
                      <w:szCs w:val="22"/>
                    </w:rPr>
                    <w:t xml:space="preserve">„Meine Ernte ist auf 520 Scheffel gestiegen. Ändert das etwas für mich?“</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Vermögensklassen · Archonten</w:t>
                  </w:r>
                </w:p>
              </w:tc>
            </w:tr>
          </w:tbl>
          <w:p>
            <w:pPr>
              <w:spacing w:after="0"/>
            </w:pPr>
          </w:p>
        </w:tc>
        <w:tc>
          <w:tcPr>
            <w:tcW w:type="dxa" w:w="5450"/>
            <w:tcBorders>
              <w:top w:val="single" w:color="999999" w:sz="6"/>
              <w:left w:val="single" w:color="999999" w:sz="6"/>
              <w:bottom w:val="single" w:color="999999" w:sz="6"/>
              <w:right w:val="single" w:color="999999" w:sz="6"/>
            </w:tcBorders>
            <w:tcMar>
              <w:top w:type="dxa" w:w="0"/>
              <w:left w:type="dxa" w:w="0"/>
              <w:bottom w:type="dxa" w:w="0"/>
              <w:right w:type="dxa" w:w="0"/>
            </w:tcMar>
          </w:tcPr>
          <w:tbl>
            <w:tblPr>
              <w:tblW w:type="dxa" w:w="5350"/>
              <w:tblBorders>
                <w:top w:val="single" w:color="auto" w:sz="4"/>
                <w:left w:val="single" w:color="auto" w:sz="4"/>
                <w:bottom w:val="single" w:color="auto" w:sz="4"/>
                <w:right w:val="single" w:color="auto" w:sz="4"/>
                <w:insideH w:val="single" w:color="auto" w:sz="4"/>
                <w:insideV w:val="single" w:color="auto" w:sz="4"/>
              </w:tblBorders>
            </w:tblPr>
            <w:tblGrid>
              <w:gridCol w:w="5350"/>
            </w:tblGrid>
            <w:tr>
              <w:trPr>
                <w:trHeight w:val="3780" w:hRule="exact"/>
              </w:trPr>
              <w:tc>
                <w:tcPr>
                  <w:tcW w:type="dxa" w:w="5350"/>
                  <w:tcBorders>
                    <w:top w:val="none" w:color="FFFFFF" w:sz="0"/>
                    <w:left w:val="none" w:color="FFFFFF" w:sz="0"/>
                    <w:bottom w:val="dashed" w:color="AD4426" w:sz="8"/>
                    <w:right w:val="none" w:color="FFFFFF" w:sz="0"/>
                  </w:tcBorders>
                  <w:tcMar>
                    <w:top w:type="dxa" w:w="140"/>
                    <w:left w:type="dxa" w:w="160"/>
                    <w:bottom w:type="dxa" w:w="80"/>
                    <w:right w:type="dxa" w:w="160"/>
                  </w:tcMar>
                  <w:vAlign w:val="top"/>
                </w:tcPr>
                <w:p>
                  <w:pPr>
                    <w:spacing w:after="40" w:before="0"/>
                  </w:pPr>
                  <w:r>
                    <w:rPr>
                      <w:rFonts w:ascii="Cambria" w:cs="Cambria" w:eastAsia="Cambria" w:hAnsi="Cambria"/>
                      <w:b/>
                      <w:bCs/>
                      <w:color w:val="AD4426"/>
                      <w:sz w:val="30"/>
                      <w:szCs w:val="30"/>
                    </w:rPr>
                    <w:t xml:space="preserve">Anfrage E</w:t>
                  </w:r>
                </w:p>
                <w:p>
                  <w:pPr>
                    <w:spacing w:after="80" w:before="0"/>
                  </w:pPr>
                  <w:r>
                    <w:rPr>
                      <w:rFonts w:ascii="Calibri" w:cs="Calibri" w:eastAsia="Calibri" w:hAnsi="Calibri"/>
                      <w:b/>
                      <w:bCs/>
                      <w:color w:val="2B2318"/>
                      <w:sz w:val="20"/>
                      <w:szCs w:val="20"/>
                    </w:rPr>
                    <w:t xml:space="preserve">Kallippos, Hoplit (3. Klasse)</w:t>
                  </w:r>
                </w:p>
                <w:p>
                  <w:pPr>
                    <w:spacing w:after="140" w:before="0"/>
                  </w:pPr>
                  <w:r>
                    <w:rPr>
                      <w:rFonts w:ascii="Calibri" w:cs="Calibri" w:eastAsia="Calibri" w:hAnsi="Calibri"/>
                      <w:i/>
                      <w:iCs/>
                      <w:color w:val="2B2318"/>
                      <w:sz w:val="22"/>
                      <w:szCs w:val="22"/>
                    </w:rPr>
                    <w:t xml:space="preserve">„Meine Ernte ist auf 520 Scheffel gestiegen. Ändert das etwas für mich?“</w:t>
                  </w:r>
                </w:p>
                <w:p>
                  <w:pPr>
                    <w:spacing w:after="0" w:before="0"/>
                  </w:pPr>
                  <w:r>
                    <w:rPr>
                      <w:rFonts w:ascii="Calibri" w:cs="Calibri" w:eastAsia="Calibri" w:hAnsi="Calibri"/>
                      <w:color w:val="5A5044"/>
                      <w:sz w:val="16"/>
                      <w:szCs w:val="16"/>
                    </w:rPr>
                    <w:t xml:space="preserve">Deine Aufgabe: Beantworte die Anfrage schriftlich im Heft – Antwort, Begründung, Weg. Nutze das Schaubild (LB S. 21).</w:t>
                  </w:r>
                </w:p>
              </w:tc>
            </w:tr>
            <w:tr>
              <w:trPr>
                <w:trHeight w:val="3780" w:hRule="exact"/>
              </w:trPr>
              <w:tc>
                <w:tcPr>
                  <w:tcW w:type="dxa" w:w="5350"/>
                  <w:tcBorders>
                    <w:top w:val="dashed" w:color="AD4426" w:sz="8"/>
                    <w:left w:val="none" w:color="FFFFFF" w:sz="0"/>
                    <w:bottom w:val="none" w:color="FFFFFF" w:sz="0"/>
                    <w:right w:val="none" w:color="FFFFFF" w:sz="0"/>
                  </w:tcBorders>
                  <w:shd w:fill="F4ECDE" w:color="auto" w:val="clear"/>
                  <w:tcMar>
                    <w:top w:type="dxa" w:w="100"/>
                    <w:left w:type="dxa" w:w="160"/>
                    <w:bottom w:type="dxa" w:w="80"/>
                    <w:right w:type="dxa" w:w="160"/>
                  </w:tcMar>
                  <w:vAlign w:val="top"/>
                </w:tcPr>
                <w:p>
                  <w:pPr>
                    <w:spacing w:after="80" w:before="0"/>
                    <w:jc w:val="center"/>
                  </w:pPr>
                  <w:r>
                    <w:rPr>
                      <w:rFonts w:ascii="Calibri" w:cs="Calibri" w:eastAsia="Calibri" w:hAnsi="Calibri"/>
                      <w:b/>
                      <w:bCs/>
                      <w:color w:val="AD4426"/>
                      <w:sz w:val="14"/>
                      <w:szCs w:val="14"/>
                    </w:rPr>
                    <w:t xml:space="preserve">✂ hier nach hinten knicken – erst in der Expertengruppe aufklappen</w:t>
                  </w:r>
                </w:p>
                <w:p>
                  <w:pPr>
                    <w:spacing w:after="80" w:before="0"/>
                  </w:pPr>
                  <w:r>
                    <w:rPr>
                      <w:rFonts w:ascii="Calibri" w:cs="Calibri" w:eastAsia="Calibri" w:hAnsi="Calibri"/>
                      <w:b/>
                      <w:bCs/>
                      <w:color w:val="2B2318"/>
                      <w:sz w:val="19"/>
                      <w:szCs w:val="19"/>
                    </w:rPr>
                    <w:t xml:space="preserve">Lösung: </w:t>
                  </w:r>
                  <w:r>
                    <w:rPr>
                      <w:rFonts w:ascii="Calibri" w:cs="Calibri" w:eastAsia="Calibri" w:hAnsi="Calibri"/>
                      <w:color w:val="2B2318"/>
                      <w:sz w:val="19"/>
                      <w:szCs w:val="19"/>
                    </w:rPr>
                    <w:t xml:space="preserve">Ja. Du steigst in die 1. Klasse der Fünfhundertscheffler auf und kannst jetzt Archont werden. Entscheidend ist der Besitz, nicht die Herkunft. Man kann also auf- und absteigen.</w:t>
                  </w:r>
                </w:p>
                <w:p>
                  <w:pPr>
                    <w:spacing w:after="0" w:before="0"/>
                  </w:pPr>
                  <w:r>
                    <w:rPr>
                      <w:rFonts w:ascii="Calibri" w:cs="Calibri" w:eastAsia="Calibri" w:hAnsi="Calibri"/>
                      <w:b/>
                      <w:bCs/>
                      <w:color w:val="5A5044"/>
                      <w:sz w:val="16"/>
                      <w:szCs w:val="16"/>
                    </w:rPr>
                    <w:t xml:space="preserve">Diese Organe müssen genannt werden: </w:t>
                  </w:r>
                  <w:r>
                    <w:rPr>
                      <w:rFonts w:ascii="Calibri" w:cs="Calibri" w:eastAsia="Calibri" w:hAnsi="Calibri"/>
                      <w:color w:val="5A5044"/>
                      <w:sz w:val="16"/>
                      <w:szCs w:val="16"/>
                    </w:rPr>
                    <w:t xml:space="preserve">Vermögensklassen · Archonten</w:t>
                  </w:r>
                </w:p>
              </w:tc>
            </w:tr>
          </w:tbl>
          <w:p>
            <w:pPr>
              <w:spacing w:after="0"/>
            </w:pPr>
          </w:p>
        </w:tc>
      </w:tr>
    </w:tbl>
    <w:sectPr>
      <w:pgSz w:w="11906" w:h="16838" w:orient="portrait"/>
      <w:pgMar w:top="500" w:right="500" w:bottom="3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2026-10-05T18:55:14.969Z</dcterms:created>
  <dcterms:modified xsi:type="dcterms:W3CDTF">2026-10-05T18:55:14.970Z</dcterms:modified>
</cp:coreProperties>
</file>

<file path=docProps/custom.xml><?xml version="1.0" encoding="utf-8"?>
<Properties xmlns="http://schemas.openxmlformats.org/officeDocument/2006/custom-properties" xmlns:vt="http://schemas.openxmlformats.org/officeDocument/2006/docPropsVTypes"/>
</file>