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b/>
          <w:bCs/>
          <w:color w:val="AD4426"/>
          <w:sz w:val="16"/>
          <w:szCs w:val="16"/>
        </w:rPr>
        <w:t xml:space="preserve">HANDREICHUNG · GESCHICHTE KLASSE 11 · EINZELSTUNDE (45 MIN.)</w:t>
      </w:r>
    </w:p>
    <w:p>
      <w:pPr>
        <w:spacing w:after="140"/>
      </w:pPr>
      <w:r>
        <w:rPr>
          <w:rFonts w:ascii="Cambria" w:cs="Cambria" w:eastAsia="Cambria" w:hAnsi="Cambria"/>
          <w:b/>
          <w:bCs/>
          <w:color w:val="2B2318"/>
          <w:sz w:val="34"/>
          <w:szCs w:val="34"/>
        </w:rPr>
        <w:t xml:space="preserve">Geld statt Blut? Solons Verfassung im Gruppenpuzzle</w:t>
      </w:r>
    </w:p>
    <w:p>
      <w:pPr>
        <w:spacing w:after="80" w:before="0"/>
      </w:pPr>
      <w:r>
        <w:rPr>
          <w:b/>
          <w:bCs/>
          <w:sz w:val="20"/>
          <w:szCs w:val="20"/>
        </w:rPr>
        <w:t xml:space="preserve">Curriculum:</w:t>
      </w:r>
      <w:r>
        <w:rPr>
          <w:sz w:val="20"/>
          <w:szCs w:val="20"/>
        </w:rPr>
        <w:t xml:space="preserve"> E1 Antike, BM 2: Wandel durch Solon; Lesen von Verfassungsschaubildern; Unterscheidung von Sach- und Werturteil; Vorbereitung auf „antike und moderne Demokratie“.</w:t>
      </w:r>
    </w:p>
    <w:p>
      <w:pPr>
        <w:spacing w:after="80" w:before="0"/>
      </w:pPr>
      <w:r>
        <w:rPr>
          <w:b/>
          <w:bCs/>
          <w:sz w:val="20"/>
          <w:szCs w:val="20"/>
        </w:rPr>
        <w:t xml:space="preserve">Ziel der Stunde:</w:t>
      </w:r>
      <w:r>
        <w:rPr>
          <w:sz w:val="20"/>
          <w:szCs w:val="20"/>
        </w:rPr>
        <w:t xml:space="preserve"> Die Schülerinnen und Schüler setzen die Organe der solonischen Verfassung schriftlich in Beziehung, erkennen das timokratische Prinzip („Geld statt Blut“) und ordnen die Verfassung als demokratisch und timokratisch zugleich ein.</w:t>
      </w:r>
    </w:p>
    <w:p>
      <w:pPr>
        <w:spacing w:after="80" w:before="0"/>
      </w:pPr>
      <w:r>
        <w:rPr>
          <w:b/>
          <w:bCs/>
          <w:sz w:val="20"/>
          <w:szCs w:val="20"/>
        </w:rPr>
        <w:t xml:space="preserve">Zwei Aha-Momente:</w:t>
      </w:r>
      <w:r>
        <w:rPr>
          <w:sz w:val="20"/>
          <w:szCs w:val="20"/>
        </w:rPr>
        <w:t xml:space="preserve"> Die Schüler legen sich jeweils vorher fest (Abstimmung), die Auflösung widerspricht der Erwartung der meisten. (1) Nicht der Adlige, sondern der reiche Töpfersohn kann Archont werden. (2) Die Verfassung ist nicht „keine Demokratie“, sondern beides.</w:t>
      </w:r>
    </w:p>
    <w:p>
      <w:pPr>
        <w:keepNext/>
        <w:spacing w:after="100" w:before="220"/>
      </w:pPr>
      <w:r>
        <w:rPr>
          <w:rFonts w:ascii="Cambria" w:cs="Cambria" w:eastAsia="Cambria" w:hAnsi="Cambria"/>
          <w:b/>
          <w:bCs/>
          <w:color w:val="AD4426"/>
          <w:sz w:val="25"/>
          <w:szCs w:val="25"/>
        </w:rPr>
        <w:t xml:space="preserve">1. Was du ausdrucken musst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4138"/>
      </w:tblGrid>
      <w:tr>
        <w:trPr>
          <w:tblHeader/>
        </w:trPr>
        <w:tc>
          <w:tcPr>
            <w:tcW w:type="dxa" w:w="32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Material</w:t>
            </w:r>
          </w:p>
        </w:tc>
        <w:tc>
          <w:tcPr>
            <w:tcW w:type="dxa" w:w="23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Menge</w:t>
            </w:r>
          </w:p>
        </w:tc>
        <w:tc>
          <w:tcPr>
            <w:tcW w:type="dxa" w:w="413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Hinweis</w:t>
            </w:r>
          </w:p>
        </w:tc>
      </w:tr>
      <w:tr>
        <w:trPr>
          <w:cantSplit/>
        </w:trPr>
        <w:tc>
          <w:tcPr>
            <w:tcW w:type="dxa" w:w="32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30" w:before="0"/>
            </w:pPr>
            <w:r>
              <w:rPr>
                <w:b/>
                <w:bCs/>
                <w:sz w:val="18"/>
                <w:szCs w:val="18"/>
              </w:rPr>
              <w:t xml:space="preserve">Faltkarten, Seite 1 (A–D)</w:t>
            </w:r>
          </w:p>
          <w:p>
            <w:pPr>
              <w:spacing w:after="30" w:before="0"/>
            </w:pPr>
            <w:r>
              <w:rPr>
                <w:sz w:val="18"/>
                <w:szCs w:val="18"/>
              </w:rPr>
              <w:t xml:space="preserve">Faltkarten_Gruppenpuzzle.docx</w:t>
            </w:r>
          </w:p>
        </w:tc>
        <w:tc>
          <w:tcPr>
            <w:tcW w:type="dxa" w:w="2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1 × pro Stammgruppe (z. B. 6 ×)</w:t>
            </w:r>
          </w:p>
        </w:tc>
        <w:tc>
          <w:tcPr>
            <w:tcW w:type="dxa" w:w="4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An den Außenlinien in 4 Karten schneiden. Jede Karte an der gestrichelten Linie nach hinten knicken, sodass die Lösung verdeckt ist.</w:t>
            </w:r>
          </w:p>
        </w:tc>
      </w:tr>
      <w:tr>
        <w:trPr>
          <w:cantSplit/>
        </w:trPr>
        <w:tc>
          <w:tcPr>
            <w:tcW w:type="dxa" w:w="32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30" w:before="0"/>
            </w:pPr>
            <w:r>
              <w:rPr>
                <w:b/>
                <w:bCs/>
                <w:sz w:val="18"/>
                <w:szCs w:val="18"/>
              </w:rPr>
              <w:t xml:space="preserve">Faltkarten, Seite 2 (E)</w:t>
            </w:r>
          </w:p>
          <w:p>
            <w:pPr>
              <w:spacing w:after="30" w:before="0"/>
            </w:pPr>
            <w:r>
              <w:rPr>
                <w:sz w:val="18"/>
                <w:szCs w:val="18"/>
              </w:rPr>
              <w:t xml:space="preserve">gleiche Datei</w:t>
            </w:r>
          </w:p>
        </w:tc>
        <w:tc>
          <w:tcPr>
            <w:tcW w:type="dxa" w:w="2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1 ×, nur bei 5er-Gruppen</w:t>
            </w:r>
          </w:p>
        </w:tc>
        <w:tc>
          <w:tcPr>
            <w:tcW w:type="dxa" w:w="4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Enthält vier Karten E.</w:t>
            </w:r>
          </w:p>
        </w:tc>
      </w:tr>
      <w:tr>
        <w:trPr>
          <w:cantSplit/>
        </w:trPr>
        <w:tc>
          <w:tcPr>
            <w:tcW w:type="dxa" w:w="32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30" w:before="0"/>
            </w:pPr>
            <w:r>
              <w:rPr>
                <w:b/>
                <w:bCs/>
                <w:sz w:val="18"/>
                <w:szCs w:val="18"/>
              </w:rPr>
              <w:t xml:space="preserve">Methodenblatt Schaubild</w:t>
            </w:r>
          </w:p>
          <w:p>
            <w:pPr>
              <w:spacing w:after="30" w:before="0"/>
            </w:pPr>
            <w:r>
              <w:rPr>
                <w:sz w:val="18"/>
                <w:szCs w:val="18"/>
              </w:rPr>
              <w:t xml:space="preserve">Schaubild_erklaeren_A5.docx</w:t>
            </w:r>
          </w:p>
        </w:tc>
        <w:tc>
          <w:tcPr>
            <w:tcW w:type="dxa" w:w="2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optional</w:t>
            </w:r>
          </w:p>
        </w:tc>
        <w:tc>
          <w:tcPr>
            <w:tcW w:type="dxa" w:w="4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Falls noch nicht ausgeteilt.</w:t>
            </w:r>
          </w:p>
        </w:tc>
      </w:tr>
    </w:tbl>
    <w:p>
      <w:pPr>
        <w:spacing w:after="80" w:before="100"/>
      </w:pPr>
      <w:r>
        <w:rPr>
          <w:b/>
          <w:bCs/>
          <w:sz w:val="19"/>
          <w:szCs w:val="19"/>
        </w:rPr>
        <w:t xml:space="preserve">Nicht drucken:</w:t>
      </w:r>
      <w:r>
        <w:rPr>
          <w:sz w:val="19"/>
          <w:szCs w:val="19"/>
        </w:rPr>
        <w:t xml:space="preserve"> Musterantwort, Sortieraufgabe und Urteil stehen auf den Folien, die Schüler arbeiten im Heft.</w:t>
      </w:r>
    </w:p>
    <w:p>
      <w:pPr>
        <w:keepNext/>
        <w:spacing w:after="100" w:before="220"/>
      </w:pPr>
      <w:r>
        <w:rPr>
          <w:rFonts w:ascii="Cambria" w:cs="Cambria" w:eastAsia="Cambria" w:hAnsi="Cambria"/>
          <w:b/>
          <w:bCs/>
          <w:color w:val="AD4426"/>
          <w:sz w:val="25"/>
          <w:szCs w:val="25"/>
        </w:rPr>
        <w:t xml:space="preserve">2. Checkliste vor der Stunde</w:t>
      </w:r>
    </w:p>
    <w:p>
      <w:pPr>
        <w:spacing w:after="50" w:before="0"/>
      </w:pPr>
      <w:r>
        <w:rPr>
          <w:sz w:val="20"/>
          <w:szCs w:val="20"/>
        </w:rPr>
        <w:t xml:space="preserve">☐  Folien_Geld_statt_Blut.pptx auf den Rechner im Klassenraum kopieren.</w:t>
      </w:r>
    </w:p>
    <w:p>
      <w:pPr>
        <w:spacing w:after="50" w:before="0"/>
      </w:pPr>
      <w:r>
        <w:rPr>
          <w:sz w:val="20"/>
          <w:szCs w:val="20"/>
        </w:rPr>
        <w:t xml:space="preserve">☐  Faltkarten schneiden und knicken, je Stammgruppe einen Satz A–D (plus E) bündeln.</w:t>
      </w:r>
    </w:p>
    <w:p>
      <w:pPr>
        <w:spacing w:after="50" w:before="0"/>
      </w:pPr>
      <w:r>
        <w:rPr>
          <w:sz w:val="20"/>
          <w:szCs w:val="20"/>
        </w:rPr>
        <w:t xml:space="preserve">☐  Stammgruppen zu viert festlegen (Sitzordnung), damit der Wechsel schnell geht.</w:t>
      </w:r>
    </w:p>
    <w:p>
      <w:pPr>
        <w:spacing w:after="50" w:before="0"/>
      </w:pPr>
      <w:r>
        <w:rPr>
          <w:sz w:val="20"/>
          <w:szCs w:val="20"/>
        </w:rPr>
        <w:t xml:space="preserve">☐  Die Schüler brauchen LB S. 21 (Schaubild) und ihr Heft.</w:t>
      </w:r>
    </w:p>
    <w:p>
      <w:pPr>
        <w:keepNext/>
        <w:spacing w:after="100" w:before="220"/>
      </w:pPr>
      <w:r>
        <w:rPr>
          <w:rFonts w:ascii="Cambria" w:cs="Cambria" w:eastAsia="Cambria" w:hAnsi="Cambria"/>
          <w:b/>
          <w:bCs/>
          <w:color w:val="AD4426"/>
          <w:sz w:val="25"/>
          <w:szCs w:val="25"/>
        </w:rPr>
        <w:t xml:space="preserve">3. Verlauf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1650"/>
        <w:gridCol w:w="4188"/>
        <w:gridCol w:w="1450"/>
        <w:gridCol w:w="1500"/>
      </w:tblGrid>
      <w:tr>
        <w:trPr>
          <w:tblHeader/>
        </w:trPr>
        <w:tc>
          <w:tcPr>
            <w:tcW w:type="dxa" w:w="85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Zeit</w:t>
            </w:r>
          </w:p>
        </w:tc>
        <w:tc>
          <w:tcPr>
            <w:tcW w:type="dxa" w:w="165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Phase</w:t>
            </w:r>
          </w:p>
        </w:tc>
        <w:tc>
          <w:tcPr>
            <w:tcW w:type="dxa" w:w="418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Ablauf</w:t>
            </w:r>
          </w:p>
        </w:tc>
        <w:tc>
          <w:tcPr>
            <w:tcW w:type="dxa" w:w="145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Sozialform</w:t>
            </w:r>
          </w:p>
        </w:tc>
        <w:tc>
          <w:tcPr>
            <w:tcW w:type="dxa" w:w="15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Folien</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0–5</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Aha 1: Wer kann Archont werden?</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Drei Personen (Adliger, reicher Töpfersohn, Tagelöhner). Alle legen sich per Handzeichen fest, Ergebnis an der Tafel notieren. Auflösung in zwei Schritten: vor Solon A, nach Solon B. Merksatz: Geld statt Blut – Timokratie.</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Plenum</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2–4</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5–7</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Musterantwort</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Anfrage von Megakles mit Antwort in drei Teilen (Antwort, Begründung, Weg) zeigen.</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Plenum</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5</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7–8</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Gruppen bilden</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Stammgruppen à 4, Kartensatz A–D verteilen, Lösung bleibt geknickt.</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6</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8–14</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Schritt 1: Allein</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Anfrage schriftlich im Heft beantworten, Organe unterstreichen.</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EA</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7</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14–20</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Schritt 2: Experten</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Gleiche Buchstaben zusammen (max. 4), vergleichen, Lösung aufklappen, verbessern.</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GA</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8</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20–32</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Schritt 3: Stammgruppe</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Jeder Experte stellt seine Anfrage, die anderen beantworten sie mit dem Schaubild, der Experte prüft und ergänzt. Alle notieren je einen Satz in der Tabelle.</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GA</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9–10</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32–39</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Aha 2: Demokratie?</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Daumenabfrage (Erwartung: Nein). Paare ordnen sechs Merkmale den Spalten „demokratisch“ und „timokratisch“ zu. Auflösung: beides.</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Plenum, PA</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11–13</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39–45</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Urteil</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Sachurteil: eher demokratisch oder timokratisch? Werturteil: Ist es gerecht, dass die Ämter vom Besitz abhängen? (Maßstab 1–4)</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EA</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14–15</w:t>
            </w:r>
          </w:p>
        </w:tc>
      </w:tr>
    </w:tbl>
    <w:p>
      <w:pPr>
        <w:spacing w:after="80" w:before="80"/>
      </w:pPr>
      <w:r>
        <w:rPr>
          <w:color w:val="5A5044"/>
          <w:sz w:val="18"/>
          <w:szCs w:val="18"/>
        </w:rPr>
        <w:t xml:space="preserve">Folie 16 (Ausblick) leitet zur nächsten Stunde über: Gewinner-Verlierer-Linie als Einstieg, dann Peisistratos.</w:t>
      </w:r>
    </w:p>
    <w:p>
      <w:pPr>
        <w:keepNext/>
        <w:spacing w:after="100" w:before="220"/>
      </w:pPr>
      <w:r>
        <w:rPr>
          <w:rFonts w:ascii="Cambria" w:cs="Cambria" w:eastAsia="Cambria" w:hAnsi="Cambria"/>
          <w:b/>
          <w:bCs/>
          <w:color w:val="AD4426"/>
          <w:sz w:val="25"/>
          <w:szCs w:val="25"/>
        </w:rPr>
        <w:t xml:space="preserve">4. Hinweise</w:t>
      </w:r>
    </w:p>
    <w:p>
      <w:pPr>
        <w:spacing w:after="80" w:before="0"/>
      </w:pPr>
      <w:r>
        <w:rPr>
          <w:b/>
          <w:bCs/>
          <w:sz w:val="19"/>
          <w:szCs w:val="19"/>
        </w:rPr>
        <w:t xml:space="preserve">Deine Rolle:</w:t>
      </w:r>
      <w:r>
        <w:rPr>
          <w:sz w:val="19"/>
          <w:szCs w:val="19"/>
        </w:rPr>
        <w:t xml:space="preserve"> Du sprichst nur an den Übergängen. Die Kontrolle übernehmen die Faltkarten (Expertengruppe) und die Experten selbst (Stammgruppe). Folie 10 dient der Selbstkontrolle und wird nicht im Plenum besprochen.</w:t>
      </w:r>
    </w:p>
    <w:p>
      <w:pPr>
        <w:spacing w:after="80" w:before="0"/>
      </w:pPr>
      <w:r>
        <w:rPr>
          <w:b/>
          <w:bCs/>
          <w:sz w:val="19"/>
          <w:szCs w:val="19"/>
        </w:rPr>
        <w:t xml:space="preserve">Aha 1:</w:t>
      </w:r>
      <w:r>
        <w:rPr>
          <w:sz w:val="19"/>
          <w:szCs w:val="19"/>
        </w:rPr>
        <w:t xml:space="preserve"> Vor der Auflösung nicht kommentieren. Die Verteilung an der Tafel festzuhalten, macht den Überraschungseffekt sichtbar. Megakles hat mit 150 Scheffeln weniger als 200 und gehört deshalb zu den Theten.</w:t>
      </w:r>
    </w:p>
    <w:p>
      <w:pPr>
        <w:spacing w:after="80" w:before="0"/>
      </w:pPr>
      <w:r>
        <w:rPr>
          <w:b/>
          <w:bCs/>
          <w:sz w:val="19"/>
          <w:szCs w:val="19"/>
        </w:rPr>
        <w:t xml:space="preserve">Gruppenpuzzle:</w:t>
      </w:r>
      <w:r>
        <w:rPr>
          <w:sz w:val="19"/>
          <w:szCs w:val="19"/>
        </w:rPr>
        <w:t xml:space="preserve"> Häufigste Lücke in Schritt 1 ist, dass nur ein Organ genannt wird. Nachfrage: „Wer ist noch beteiligt?“ Ein Zeitsignal nach jeder Anfrage in Schritt 3 hilft (ca. 3 Min. pro Anfrage).</w:t>
      </w:r>
    </w:p>
    <w:p>
      <w:pPr>
        <w:spacing w:after="80" w:before="0"/>
      </w:pPr>
      <w:r>
        <w:rPr>
          <w:b/>
          <w:bCs/>
          <w:sz w:val="19"/>
          <w:szCs w:val="19"/>
        </w:rPr>
        <w:t xml:space="preserve">Aha 2:</w:t>
      </w:r>
      <w:r>
        <w:rPr>
          <w:sz w:val="19"/>
          <w:szCs w:val="19"/>
        </w:rPr>
        <w:t xml:space="preserve"> Die Schlussfrage auf Folie 13 („Was müsste sich ändern, damit Athen eine Demokratie wird?“) nicht beantworten. Sie führt später zu Kleisthenes.</w:t>
      </w:r>
    </w:p>
    <w:p>
      <w:pPr>
        <w:keepNext/>
        <w:spacing w:after="100" w:before="220"/>
      </w:pPr>
      <w:r>
        <w:rPr>
          <w:rFonts w:ascii="Cambria" w:cs="Cambria" w:eastAsia="Cambria" w:hAnsi="Cambria"/>
          <w:b/>
          <w:bCs/>
          <w:color w:val="AD4426"/>
          <w:sz w:val="25"/>
          <w:szCs w:val="25"/>
        </w:rPr>
        <w:t xml:space="preserve">5. Erwartungshorizont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4838"/>
      </w:tblGrid>
      <w:tr>
        <w:trPr>
          <w:tblHeader/>
        </w:trPr>
        <w:tc>
          <w:tcPr>
            <w:tcW w:type="dxa" w:w="7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p>
        </w:tc>
        <w:tc>
          <w:tcPr>
            <w:tcW w:type="dxa" w:w="41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Anfrage</w:t>
            </w:r>
          </w:p>
        </w:tc>
        <w:tc>
          <w:tcPr>
            <w:tcW w:type="dxa" w:w="483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Antwort</w:t>
            </w:r>
          </w:p>
        </w:tc>
      </w:tr>
      <w:tr>
        <w:trPr>
          <w:cantSplit/>
        </w:trPr>
        <w:tc>
          <w:tcPr>
            <w:tcW w:type="dxa" w:w="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A</w:t>
            </w:r>
          </w:p>
        </w:tc>
        <w:tc>
          <w:tcPr>
            <w:tcW w:type="dxa" w:w="41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Lykon, Thete (Tagelöhner): „Athen überlegt, in den Krieg zu ziehen. Darf ich mitentscheiden? Und wie läuft so eine Entscheidung ab?“</w:t>
            </w:r>
          </w:p>
        </w:tc>
        <w:tc>
          <w:tcPr>
            <w:tcW w:type="dxa" w:w="48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Ja. Als Bürger über 20 gehörst du zur Volksversammlung, und dort wird über Krieg und Frieden abgestimmt. Der Ablauf: Der Rat der 400 bereitet die Entscheidung vor, die Volksversammlung beschließt, die Archonten führen sie aus.</w:t>
            </w:r>
          </w:p>
        </w:tc>
      </w:tr>
      <w:tr>
        <w:trPr>
          <w:cantSplit/>
        </w:trPr>
        <w:tc>
          <w:tcPr>
            <w:tcW w:type="dxa" w:w="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B</w:t>
            </w:r>
          </w:p>
        </w:tc>
        <w:tc>
          <w:tcPr>
            <w:tcW w:type="dxa" w:w="41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Kleitos, Ritter (2. Klasse): „Ich möchte in den Rat der 400. Geht das? Und wer wählt mich?“</w:t>
            </w:r>
          </w:p>
        </w:tc>
        <w:tc>
          <w:tcPr>
            <w:tcW w:type="dxa" w:w="48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Ja. Die Klassen 1 bis 3 dürfen gewählt werden. Den Rat wählen die vier Phylen. Als Ratsmitglied bereitest du die Beschlüsse der Volksversammlung vor. Archont kannst du als Ritter aber nicht werden – dafür bräuchtest du 500 Scheffel.</w:t>
            </w:r>
          </w:p>
        </w:tc>
      </w:tr>
      <w:tr>
        <w:trPr>
          <w:cantSplit/>
        </w:trPr>
        <w:tc>
          <w:tcPr>
            <w:tcW w:type="dxa" w:w="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C</w:t>
            </w:r>
          </w:p>
        </w:tc>
        <w:tc>
          <w:tcPr>
            <w:tcW w:type="dxa" w:w="41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Demeas, Kleinbauer: „Ein Beamter hat mich ungerecht behandelt. Kann ich etwas dagegen tun?“</w:t>
            </w:r>
          </w:p>
        </w:tc>
        <w:tc>
          <w:tcPr>
            <w:tcW w:type="dxa" w:w="48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Ja. Seit Solon darf jeder Bürger klagen – vor der Volksversammlung oder vor einem Geschworenengericht. Die Volksversammlung entscheidet über Klagen gegen die Amtsführung der Beamten. Außerdem beaufsichtigt der Areopag die Beamten.</w:t>
            </w:r>
          </w:p>
        </w:tc>
      </w:tr>
      <w:tr>
        <w:trPr>
          <w:cantSplit/>
        </w:trPr>
        <w:tc>
          <w:tcPr>
            <w:tcW w:type="dxa" w:w="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D</w:t>
            </w:r>
          </w:p>
        </w:tc>
        <w:tc>
          <w:tcPr>
            <w:tcW w:type="dxa" w:w="41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Philon, ehemaliger Archont: „Mein Amtsjahr als Archont ist vorbei. Was wird jetzt aus mir?“</w:t>
            </w:r>
          </w:p>
        </w:tc>
        <w:tc>
          <w:tcPr>
            <w:tcW w:type="dxa" w:w="48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Du wirst Mitglied im Areopag. Er besteht aus ehemaligen Archonten, beaufsichtigt die Verfassung und die Amtsführung der Beamten und richtet bei Mord (Blutgerichtsbarkeit). Weil nur die 1. Klasse Archont werden kann, sitzen im Areopag nur Reiche.</w:t>
            </w:r>
          </w:p>
        </w:tc>
      </w:tr>
      <w:tr>
        <w:trPr>
          <w:cantSplit/>
        </w:trPr>
        <w:tc>
          <w:tcPr>
            <w:tcW w:type="dxa" w:w="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E</w:t>
            </w:r>
          </w:p>
        </w:tc>
        <w:tc>
          <w:tcPr>
            <w:tcW w:type="dxa" w:w="41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Kallippos, Hoplit (3. Klasse): „Meine Ernte ist auf 520 Scheffel gestiegen. Ändert das etwas für mich?“</w:t>
            </w:r>
          </w:p>
        </w:tc>
        <w:tc>
          <w:tcPr>
            <w:tcW w:type="dxa" w:w="48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Ja. Du steigst in die 1. Klasse der Fünfhundertscheffler auf und kannst jetzt Archont werden. Entscheidend ist der Besitz, nicht die Herkunft. Man kann also auf- und absteigen.</w:t>
            </w:r>
          </w:p>
        </w:tc>
      </w:tr>
    </w:tbl>
    <w:p>
      <w:pPr>
        <w:spacing w:after="80" w:before="80"/>
      </w:pPr>
      <w:r>
        <w:rPr>
          <w:sz w:val="18"/>
          <w:szCs w:val="18"/>
        </w:rPr>
        <w:t xml:space="preserve">Sortieraufgabe – demokratisch: Volksversammlung aller Bürger, Klagerecht jedes Bürgers, Theten wählen die Beamten. Timokratisch: Archonten nur 1. Klasse, Rat der 400 nur Klassen 1–3, Areopag aus ehemaligen Archonten.</w:t>
      </w:r>
    </w:p>
    <w:p>
      <w:pPr>
        <w:keepNext/>
        <w:spacing w:after="100" w:before="220"/>
      </w:pPr>
      <w:r>
        <w:rPr>
          <w:rFonts w:ascii="Cambria" w:cs="Cambria" w:eastAsia="Cambria" w:hAnsi="Cambria"/>
          <w:b/>
          <w:bCs/>
          <w:color w:val="AD4426"/>
          <w:sz w:val="25"/>
          <w:szCs w:val="25"/>
        </w:rPr>
        <w:t xml:space="preserve">6. Wenn die Zeit knapp wird</w:t>
      </w:r>
    </w:p>
    <w:p>
      <w:pPr>
        <w:spacing w:after="50" w:before="0"/>
      </w:pPr>
      <w:r>
        <w:rPr>
          <w:sz w:val="20"/>
          <w:szCs w:val="20"/>
        </w:rPr>
        <w:t xml:space="preserve">–  Musterantwort (Folie 5) nur kurz zeigen, ohne Besprechung.</w:t>
      </w:r>
    </w:p>
    <w:p>
      <w:pPr>
        <w:spacing w:after="50" w:before="0"/>
      </w:pPr>
      <w:r>
        <w:rPr>
          <w:sz w:val="20"/>
          <w:szCs w:val="20"/>
        </w:rPr>
        <w:t xml:space="preserve">–  In Schritt 3 nur drei Anfragen pro Stammgruppe.</w:t>
      </w:r>
    </w:p>
    <w:p>
      <w:pPr>
        <w:spacing w:after="50" w:before="0"/>
      </w:pPr>
      <w:r>
        <w:rPr>
          <w:sz w:val="20"/>
          <w:szCs w:val="20"/>
        </w:rPr>
        <w:t xml:space="preserve">–  Das Werturteil als Hausaufgabe.</w:t>
      </w:r>
    </w:p>
    <w:sectPr>
      <w:headerReference w:type="default" r:id="rId7"/>
      <w:pgSz w:w="11906" w:h="16838" w:orient="portrait"/>
      <w:pgMar w:top="10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8C77"/>
        <w:sz w:val="16"/>
        <w:szCs w:val="16"/>
      </w:rPr>
      <w:t xml:space="preserve">Geschichte · Klasse 11 · Handreichung „Geld statt Blut?“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3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2026-10-05T18:56:29.662Z</dcterms:created>
  <dcterms:modified xsi:type="dcterms:W3CDTF">2026-10-05T18:56:29.662Z</dcterms:modified>
</cp:coreProperties>
</file>

<file path=docProps/custom.xml><?xml version="1.0" encoding="utf-8"?>
<Properties xmlns="http://schemas.openxmlformats.org/officeDocument/2006/custom-properties" xmlns:vt="http://schemas.openxmlformats.org/officeDocument/2006/docPropsVTypes"/>
</file>