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TAFELSCRIPT · DEUTSCH 11 · KOMMUNIKATIONSSTÖRUNGEN IM SPORT</w:t>
      </w:r>
    </w:p>
    <w:p>
      <w:pPr>
        <w:spacing w:after="60" w:before="0"/>
      </w:pPr>
      <w:r>
        <w:rPr>
          <w:rFonts w:ascii="Cambria" w:cs="Cambria" w:eastAsia="Cambria" w:hAnsi="Cambria"/>
          <w:b/>
          <w:bCs/>
          <w:color w:val="1E2761"/>
          <w:sz w:val="40"/>
          <w:szCs w:val="40"/>
        </w:rPr>
        <w:t xml:space="preserve">Tafelbild im Endstand</w:t>
      </w:r>
    </w:p>
    <w:p>
      <w:pPr>
        <w:spacing w:after="100" w:before="0"/>
      </w:pPr>
      <w:r>
        <w:rPr>
          <w:rFonts w:ascii="Calibri" w:cs="Calibri" w:eastAsia="Calibri" w:hAnsi="Calibri"/>
          <w:color w:val="5B6B8C"/>
          <w:sz w:val="20"/>
          <w:szCs w:val="20"/>
        </w:rPr>
        <w:t xml:space="preserve">Die Ziffern ① – ⑥ zeigen, </w:t>
      </w:r>
      <w:r>
        <w:rPr>
          <w:rFonts w:ascii="Calibri" w:cs="Calibri" w:eastAsia="Calibri" w:hAnsi="Calibri"/>
          <w:b/>
          <w:bCs/>
          <w:color w:val="5B6B8C"/>
          <w:sz w:val="20"/>
          <w:szCs w:val="20"/>
        </w:rPr>
        <w:t xml:space="preserve">wann</w:t>
      </w:r>
      <w:r>
        <w:rPr>
          <w:rFonts w:ascii="Calibri" w:cs="Calibri" w:eastAsia="Calibri" w:hAnsi="Calibri"/>
          <w:color w:val="5B6B8C"/>
          <w:sz w:val="20"/>
          <w:szCs w:val="20"/>
        </w:rPr>
        <w:t xml:space="preserve"> was an die Tafel kommt (Ablauf auf der nächsten Seite). Farbige Kreide: Sache blau · Selbstoffenbarung grün · Beziehung gelb · Appell rot.</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none" w:color="FFFFFF" w:sz="0"/>
              <w:left w:val="none" w:color="FFFFFF" w:sz="0"/>
              <w:bottom w:val="none" w:color="FFFFFF" w:sz="0"/>
              <w:right w:val="none" w:color="FFFFFF" w:sz="0"/>
            </w:tcBorders>
            <w:shd w:fill="2E4A3B" w:color="auto" w:val="clear"/>
            <w:tcMar>
              <w:top w:type="dxa" w:w="140"/>
              <w:left w:type="dxa" w:w="200"/>
              <w:bottom w:type="dxa" w:w="140"/>
              <w:right w:type="dxa" w:w="200"/>
            </w:tcMar>
            <w:vAlign w:val="top"/>
          </w:tcPr>
          <w:p>
            <w:pPr>
              <w:spacing w:after="60" w:before="0"/>
            </w:pPr>
            <w:r>
              <w:rPr>
                <w:rFonts w:ascii="Calibri" w:cs="Calibri" w:eastAsia="Calibri" w:hAnsi="Calibri"/>
                <w:b/>
                <w:bCs/>
                <w:color w:val="C9C3A8"/>
                <w:sz w:val="18"/>
                <w:szCs w:val="18"/>
              </w:rPr>
              <w:t xml:space="preserve">① </w:t>
            </w:r>
            <w:r>
              <w:rPr>
                <w:rFonts w:ascii="Cambria" w:cs="Cambria" w:eastAsia="Cambria" w:hAnsi="Cambria"/>
                <w:b/>
                <w:bCs/>
                <w:color w:val="F3F1EA"/>
                <w:sz w:val="32"/>
                <w:szCs w:val="32"/>
              </w:rPr>
              <w:t xml:space="preserve">„Was erlauben Strunz?“ – Trapattonis Wutrede (10. März 1998)</w:t>
            </w:r>
          </w:p>
          <w:p>
            <w:pPr>
              <w:spacing w:after="0" w:before="0"/>
            </w:pPr>
            <w:r>
              <w:rPr>
                <w:rFonts w:ascii="Calibri" w:cs="Calibri" w:eastAsia="Calibri" w:hAnsi="Calibri"/>
                <w:b/>
                <w:bCs/>
                <w:color w:val="C9C3A8"/>
                <w:sz w:val="18"/>
                <w:szCs w:val="18"/>
              </w:rPr>
              <w:t xml:space="preserve">② </w:t>
            </w:r>
            <w:r>
              <w:rPr>
                <w:rFonts w:ascii="Calibri" w:cs="Calibri" w:eastAsia="Calibri" w:hAnsi="Calibri"/>
                <w:b/>
                <w:bCs/>
                <w:color w:val="F5D76E"/>
                <w:sz w:val="22"/>
                <w:szCs w:val="22"/>
              </w:rPr>
              <w:t xml:space="preserve">Hypothese: </w:t>
            </w:r>
            <w:r>
              <w:rPr>
                <w:rFonts w:ascii="Calibri" w:cs="Calibri" w:eastAsia="Calibri" w:hAnsi="Calibri"/>
                <w:color w:val="F3F1EA"/>
                <w:sz w:val="22"/>
                <w:szCs w:val="22"/>
              </w:rPr>
              <w:t xml:space="preserve">Trapattoni verletzt alle vier Seiten einer Nachricht. → Beweist es mit Zitaten!</w:t>
            </w:r>
          </w:p>
        </w:tc>
      </w:tr>
      <w:tr>
        <w:trPr>
          <w:cantSplit/>
        </w:trPr>
        <w:tc>
          <w:tcPr>
            <w:tcW w:type="dxa" w:w="15138"/>
            <w:tcBorders>
              <w:top w:val="none" w:color="FFFFFF" w:sz="0"/>
              <w:left w:val="none" w:color="FFFFFF" w:sz="0"/>
              <w:bottom w:val="none" w:color="FFFFFF" w:sz="0"/>
              <w:right w:val="none" w:color="FFFFFF" w:sz="0"/>
            </w:tcBorders>
            <w:shd w:fill="2E4A3B" w:color="auto" w:val="clear"/>
            <w:tcMar>
              <w:top w:type="dxa" w:w="60"/>
              <w:left w:type="dxa" w:w="200"/>
              <w:bottom w:type="dxa" w:w="60"/>
              <w:right w:type="dxa" w:w="200"/>
            </w:tcMar>
            <w:vAlign w:val="top"/>
          </w:tcPr>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3100"/>
              <w:gridCol w:w="5900"/>
              <w:gridCol w:w="6138"/>
            </w:tblGrid>
            <w:tr>
              <w:trPr>
                <w:cantSplit/>
                <w:trHeight w:val="420" w:hRule="atLeast"/>
              </w:trPr>
              <w:tc>
                <w:tcPr>
                  <w:tcW w:type="dxa" w:w="31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C9C3A8"/>
                      <w:sz w:val="18"/>
                      <w:szCs w:val="18"/>
                    </w:rPr>
                    <w:t xml:space="preserve">② </w:t>
                  </w:r>
                  <w:r>
                    <w:rPr>
                      <w:rFonts w:ascii="Calibri" w:cs="Calibri" w:eastAsia="Calibri" w:hAnsi="Calibri"/>
                      <w:b/>
                      <w:bCs/>
                      <w:color w:val="F3F1EA"/>
                      <w:sz w:val="20"/>
                      <w:szCs w:val="20"/>
                    </w:rPr>
                    <w:t xml:space="preserve">Seite der Nachricht</w:t>
                  </w:r>
                </w:p>
              </w:tc>
              <w:tc>
                <w:tcPr>
                  <w:tcW w:type="dxa" w:w="5900"/>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C9C3A8"/>
                      <w:sz w:val="18"/>
                      <w:szCs w:val="18"/>
                    </w:rPr>
                    <w:t xml:space="preserve">③ </w:t>
                  </w:r>
                  <w:r>
                    <w:rPr>
                      <w:rFonts w:ascii="Calibri" w:cs="Calibri" w:eastAsia="Calibri" w:hAnsi="Calibri"/>
                      <w:b/>
                      <w:bCs/>
                      <w:color w:val="F3F1EA"/>
                      <w:sz w:val="20"/>
                      <w:szCs w:val="20"/>
                    </w:rPr>
                    <w:t xml:space="preserve">Was sendet Trapattoni? – Belege (Zitate)</w:t>
                  </w:r>
                </w:p>
              </w:tc>
              <w:tc>
                <w:tcPr>
                  <w:tcW w:type="dxa" w:w="6138"/>
                  <w:tcBorders>
                    <w:top w:val="single" w:color="6E8C7A" w:sz="6"/>
                    <w:left w:val="single" w:color="6E8C7A" w:sz="6"/>
                    <w:bottom w:val="single" w:color="6E8C7A" w:sz="6"/>
                    <w:right w:val="single" w:color="6E8C7A" w:sz="6"/>
                  </w:tcBorders>
                  <w:shd w:fill="3A5A48" w:color="auto" w:val="clear"/>
                  <w:tcMar>
                    <w:top w:type="dxa" w:w="60"/>
                    <w:left w:type="dxa" w:w="110"/>
                    <w:bottom w:type="dxa" w:w="60"/>
                    <w:right w:type="dxa" w:w="110"/>
                  </w:tcMar>
                  <w:vAlign w:val="top"/>
                </w:tcPr>
                <w:p>
                  <w:pPr>
                    <w:spacing w:after="0" w:before="0"/>
                  </w:pPr>
                  <w:r>
                    <w:rPr>
                      <w:rFonts w:ascii="Calibri" w:cs="Calibri" w:eastAsia="Calibri" w:hAnsi="Calibri"/>
                      <w:b/>
                      <w:bCs/>
                      <w:color w:val="C9C3A8"/>
                      <w:sz w:val="18"/>
                      <w:szCs w:val="18"/>
                    </w:rPr>
                    <w:t xml:space="preserve">④ </w:t>
                  </w:r>
                  <w:r>
                    <w:rPr>
                      <w:rFonts w:ascii="Calibri" w:cs="Calibri" w:eastAsia="Calibri" w:hAnsi="Calibri"/>
                      <w:b/>
                      <w:bCs/>
                      <w:color w:val="F3F1EA"/>
                      <w:sz w:val="20"/>
                      <w:szCs w:val="20"/>
                    </w:rPr>
                    <w:t xml:space="preserve">Kommunikationsstörung</w:t>
                  </w:r>
                </w:p>
              </w:tc>
            </w:tr>
            <w:tr>
              <w:trPr>
                <w:cantSplit/>
                <w:trHeight w:val="1150" w:hRule="atLeast"/>
              </w:trPr>
              <w:tc>
                <w:tcPr>
                  <w:tcW w:type="dxa" w:w="31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b/>
                      <w:bCs/>
                      <w:color w:val="8EC3F0"/>
                      <w:sz w:val="24"/>
                      <w:szCs w:val="24"/>
                    </w:rPr>
                    <w:t xml:space="preserve">Sachinhalt</w:t>
                  </w:r>
                </w:p>
                <w:p>
                  <w:pPr>
                    <w:spacing w:after="0" w:before="0"/>
                  </w:pPr>
                  <w:r>
                    <w:rPr>
                      <w:rFonts w:ascii="Calibri" w:cs="Calibri" w:eastAsia="Calibri" w:hAnsi="Calibri"/>
                      <w:i/>
                      <w:iCs/>
                      <w:color w:val="8EC3F0"/>
                      <w:sz w:val="17"/>
                      <w:szCs w:val="17"/>
                    </w:rPr>
                    <w:t xml:space="preserve">Worüber informiert er?</w:t>
                  </w:r>
                </w:p>
              </w:tc>
              <w:tc>
                <w:tcPr>
                  <w:tcW w:type="dxa" w:w="5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40" w:before="0"/>
                  </w:pPr>
                  <w:r>
                    <w:rPr>
                      <w:rFonts w:ascii="Calibri" w:cs="Calibri" w:eastAsia="Calibri" w:hAnsi="Calibri"/>
                      <w:color w:val="F3F1EA"/>
                      <w:sz w:val="18"/>
                      <w:szCs w:val="18"/>
                    </w:rPr>
                    <w:t xml:space="preserve">Einige Spieler (Strunz, Basler, Scholl) leisten zu wenig, beklagen sich und verweigern die Defensivarbeit.</w:t>
                  </w:r>
                </w:p>
                <w:p>
                  <w:pPr>
                    <w:spacing w:after="20" w:before="0"/>
                  </w:pPr>
                  <w:r>
                    <w:rPr>
                      <w:rFonts w:ascii="Calibri" w:cs="Calibri" w:eastAsia="Calibri" w:hAnsi="Calibri"/>
                      <w:i/>
                      <w:iCs/>
                      <w:color w:val="8EC3F0"/>
                      <w:sz w:val="18"/>
                      <w:szCs w:val="18"/>
                    </w:rPr>
                    <w:t xml:space="preserve">„Es gibt im Moment in diese Mannschaft, oh, einige Spieler vergessen ihnen Profi, was sie sind.“</w:t>
                  </w:r>
                </w:p>
                <w:p>
                  <w:pPr>
                    <w:spacing w:after="20" w:before="0"/>
                  </w:pPr>
                  <w:r>
                    <w:rPr>
                      <w:rFonts w:ascii="Calibri" w:cs="Calibri" w:eastAsia="Calibri" w:hAnsi="Calibri"/>
                      <w:i/>
                      <w:iCs/>
                      <w:color w:val="8EC3F0"/>
                      <w:sz w:val="18"/>
                      <w:szCs w:val="18"/>
                    </w:rPr>
                    <w:t xml:space="preserve">„Diese Spieler beklagen mehr als sie spielen.“</w:t>
                  </w:r>
                </w:p>
              </w:tc>
              <w:tc>
                <w:tcPr>
                  <w:tcW w:type="dxa" w:w="61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8"/>
                      <w:szCs w:val="18"/>
                    </w:rPr>
                    <w:t xml:space="preserve">Der Sachinhalt geht im „Rauschen“ unter: Medien und Publikum hören nur noch „Flasche leer“ und „Was erlauben Strunz?“ – nicht die sachliche Kritik.</w:t>
                  </w:r>
                </w:p>
              </w:tc>
            </w:tr>
            <w:tr>
              <w:trPr>
                <w:cantSplit/>
                <w:trHeight w:val="1150" w:hRule="atLeast"/>
              </w:trPr>
              <w:tc>
                <w:tcPr>
                  <w:tcW w:type="dxa" w:w="31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b/>
                      <w:bCs/>
                      <w:color w:val="9BDB9B"/>
                      <w:sz w:val="24"/>
                      <w:szCs w:val="24"/>
                    </w:rPr>
                    <w:t xml:space="preserve">Selbstoffenbarung</w:t>
                  </w:r>
                </w:p>
                <w:p>
                  <w:pPr>
                    <w:spacing w:after="0" w:before="0"/>
                  </w:pPr>
                  <w:r>
                    <w:rPr>
                      <w:rFonts w:ascii="Calibri" w:cs="Calibri" w:eastAsia="Calibri" w:hAnsi="Calibri"/>
                      <w:i/>
                      <w:iCs/>
                      <w:color w:val="9BDB9B"/>
                      <w:sz w:val="17"/>
                      <w:szCs w:val="17"/>
                    </w:rPr>
                    <w:t xml:space="preserve">Was zeigt er von sich?</w:t>
                  </w:r>
                </w:p>
              </w:tc>
              <w:tc>
                <w:tcPr>
                  <w:tcW w:type="dxa" w:w="5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40" w:before="0"/>
                  </w:pPr>
                  <w:r>
                    <w:rPr>
                      <w:rFonts w:ascii="Calibri" w:cs="Calibri" w:eastAsia="Calibri" w:hAnsi="Calibri"/>
                      <w:color w:val="F3F1EA"/>
                      <w:sz w:val="18"/>
                      <w:szCs w:val="18"/>
                    </w:rPr>
                    <w:t xml:space="preserve">Purer Frust, Ohnmacht, Überforderung mit der Mentalität deutscher Profis.</w:t>
                  </w:r>
                </w:p>
                <w:p>
                  <w:pPr>
                    <w:spacing w:after="20" w:before="0"/>
                  </w:pPr>
                  <w:r>
                    <w:rPr>
                      <w:rFonts w:ascii="Calibri" w:cs="Calibri" w:eastAsia="Calibri" w:hAnsi="Calibri"/>
                      <w:i/>
                      <w:iCs/>
                      <w:color w:val="9BDB9B"/>
                      <w:sz w:val="18"/>
                      <w:szCs w:val="18"/>
                    </w:rPr>
                    <w:t xml:space="preserve">„Ein Trainer ist nicht ein Idiot!“</w:t>
                  </w:r>
                </w:p>
                <w:p>
                  <w:pPr>
                    <w:spacing w:after="20" w:before="0"/>
                  </w:pPr>
                  <w:r>
                    <w:rPr>
                      <w:rFonts w:ascii="Calibri" w:cs="Calibri" w:eastAsia="Calibri" w:hAnsi="Calibri"/>
                      <w:i/>
                      <w:iCs/>
                      <w:color w:val="9BDB9B"/>
                      <w:sz w:val="18"/>
                      <w:szCs w:val="18"/>
                    </w:rPr>
                    <w:t xml:space="preserve">„Ich bin müde jetzt Vater diese Spieler …“</w:t>
                  </w:r>
                </w:p>
              </w:tc>
              <w:tc>
                <w:tcPr>
                  <w:tcW w:type="dxa" w:w="61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8"/>
                      <w:szCs w:val="18"/>
                    </w:rPr>
                    <w:t xml:space="preserve">Die Selbstoffenbarung überlagert alles: Er lässt seine Wut ungefiltert heraus und schützt damit vor allem sich selbst.</w:t>
                  </w:r>
                </w:p>
              </w:tc>
            </w:tr>
            <w:tr>
              <w:trPr>
                <w:cantSplit/>
                <w:trHeight w:val="1150" w:hRule="atLeast"/>
              </w:trPr>
              <w:tc>
                <w:tcPr>
                  <w:tcW w:type="dxa" w:w="31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b/>
                      <w:bCs/>
                      <w:color w:val="F5D76E"/>
                      <w:sz w:val="24"/>
                      <w:szCs w:val="24"/>
                    </w:rPr>
                    <w:t xml:space="preserve">Beziehung</w:t>
                  </w:r>
                </w:p>
                <w:p>
                  <w:pPr>
                    <w:spacing w:after="0" w:before="0"/>
                  </w:pPr>
                  <w:r>
                    <w:rPr>
                      <w:rFonts w:ascii="Calibri" w:cs="Calibri" w:eastAsia="Calibri" w:hAnsi="Calibri"/>
                      <w:i/>
                      <w:iCs/>
                      <w:color w:val="F5D76E"/>
                      <w:sz w:val="17"/>
                      <w:szCs w:val="17"/>
                    </w:rPr>
                    <w:t xml:space="preserve">Was hält er von den Spielern?</w:t>
                  </w:r>
                </w:p>
              </w:tc>
              <w:tc>
                <w:tcPr>
                  <w:tcW w:type="dxa" w:w="5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40" w:before="0"/>
                  </w:pPr>
                  <w:r>
                    <w:rPr>
                      <w:rFonts w:ascii="Calibri" w:cs="Calibri" w:eastAsia="Calibri" w:hAnsi="Calibri"/>
                      <w:color w:val="F3F1EA"/>
                      <w:sz w:val="18"/>
                      <w:szCs w:val="18"/>
                    </w:rPr>
                    <w:t xml:space="preserve">Er entzieht den Spielern den Respekt, den sie seiner Meinung nach selbst vermissen lassen („müssen respektieren die andere Kollegen“).</w:t>
                  </w:r>
                </w:p>
                <w:p>
                  <w:pPr>
                    <w:spacing w:after="20" w:before="0"/>
                  </w:pPr>
                  <w:r>
                    <w:rPr>
                      <w:rFonts w:ascii="Calibri" w:cs="Calibri" w:eastAsia="Calibri" w:hAnsi="Calibri"/>
                      <w:i/>
                      <w:iCs/>
                      <w:color w:val="F5D76E"/>
                      <w:sz w:val="18"/>
                      <w:szCs w:val="18"/>
                    </w:rPr>
                    <w:t xml:space="preserve">„… schwach wie eine Flasche leer!“</w:t>
                  </w:r>
                </w:p>
                <w:p>
                  <w:pPr>
                    <w:spacing w:after="20" w:before="0"/>
                  </w:pPr>
                  <w:r>
                    <w:rPr>
                      <w:rFonts w:ascii="Calibri" w:cs="Calibri" w:eastAsia="Calibri" w:hAnsi="Calibri"/>
                      <w:i/>
                      <w:iCs/>
                      <w:color w:val="F5D76E"/>
                      <w:sz w:val="18"/>
                      <w:szCs w:val="18"/>
                    </w:rPr>
                    <w:t xml:space="preserve">„Was erlauben Strunz?“</w:t>
                  </w:r>
                </w:p>
              </w:tc>
              <w:tc>
                <w:tcPr>
                  <w:tcW w:type="dxa" w:w="61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8"/>
                      <w:szCs w:val="18"/>
                    </w:rPr>
                    <w:t xml:space="preserve">Statt interner Kritik: maximale öffentliche Demütigung einzelner Spieler mit Namen – über die Medien.</w:t>
                  </w:r>
                </w:p>
              </w:tc>
            </w:tr>
            <w:tr>
              <w:trPr>
                <w:cantSplit/>
                <w:trHeight w:val="1150" w:hRule="atLeast"/>
              </w:trPr>
              <w:tc>
                <w:tcPr>
                  <w:tcW w:type="dxa" w:w="31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20" w:before="0"/>
                  </w:pPr>
                  <w:r>
                    <w:rPr>
                      <w:rFonts w:ascii="Calibri" w:cs="Calibri" w:eastAsia="Calibri" w:hAnsi="Calibri"/>
                      <w:b/>
                      <w:bCs/>
                      <w:color w:val="F29A8E"/>
                      <w:sz w:val="24"/>
                      <w:szCs w:val="24"/>
                    </w:rPr>
                    <w:t xml:space="preserve">Appell</w:t>
                  </w:r>
                </w:p>
                <w:p>
                  <w:pPr>
                    <w:spacing w:after="0" w:before="0"/>
                  </w:pPr>
                  <w:r>
                    <w:rPr>
                      <w:rFonts w:ascii="Calibri" w:cs="Calibri" w:eastAsia="Calibri" w:hAnsi="Calibri"/>
                      <w:i/>
                      <w:iCs/>
                      <w:color w:val="F29A8E"/>
                      <w:sz w:val="17"/>
                      <w:szCs w:val="17"/>
                    </w:rPr>
                    <w:t xml:space="preserve">Wozu will er bewegen?</w:t>
                  </w:r>
                </w:p>
              </w:tc>
              <w:tc>
                <w:tcPr>
                  <w:tcW w:type="dxa" w:w="5900"/>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40" w:before="0"/>
                  </w:pPr>
                  <w:r>
                    <w:rPr>
                      <w:rFonts w:ascii="Calibri" w:cs="Calibri" w:eastAsia="Calibri" w:hAnsi="Calibri"/>
                      <w:color w:val="F3F1EA"/>
                      <w:sz w:val="18"/>
                      <w:szCs w:val="18"/>
                    </w:rPr>
                    <w:t xml:space="preserve">Die Spieler sollen am Samstag laufen, kämpfen und das Spiel gewinnen.</w:t>
                  </w:r>
                </w:p>
                <w:p>
                  <w:pPr>
                    <w:spacing w:after="20" w:before="0"/>
                  </w:pPr>
                  <w:r>
                    <w:rPr>
                      <w:rFonts w:ascii="Calibri" w:cs="Calibri" w:eastAsia="Calibri" w:hAnsi="Calibri"/>
                      <w:i/>
                      <w:iCs/>
                      <w:color w:val="F29A8E"/>
                      <w:sz w:val="18"/>
                      <w:szCs w:val="18"/>
                    </w:rPr>
                    <w:t xml:space="preserve">„… Samstag, diese Spieler müssen zeigen mich, seine Fans, müssen allein die Spiel gewinnen.“</w:t>
                  </w:r>
                </w:p>
              </w:tc>
              <w:tc>
                <w:tcPr>
                  <w:tcW w:type="dxa" w:w="6138"/>
                  <w:tcBorders>
                    <w:top w:val="single" w:color="6E8C7A" w:sz="6"/>
                    <w:left w:val="single" w:color="6E8C7A" w:sz="6"/>
                    <w:bottom w:val="single" w:color="6E8C7A" w:sz="6"/>
                    <w:right w:val="single" w:color="6E8C7A" w:sz="6"/>
                  </w:tcBorders>
                  <w:shd w:fill="2E4A3B" w:color="auto" w:val="clear"/>
                  <w:tcMar>
                    <w:top w:type="dxa" w:w="60"/>
                    <w:left w:type="dxa" w:w="110"/>
                    <w:bottom w:type="dxa" w:w="60"/>
                    <w:right w:type="dxa" w:w="110"/>
                  </w:tcMar>
                  <w:vAlign w:val="top"/>
                </w:tcPr>
                <w:p>
                  <w:pPr>
                    <w:spacing w:after="0" w:before="0"/>
                  </w:pPr>
                  <w:r>
                    <w:rPr>
                      <w:rFonts w:ascii="Calibri" w:cs="Calibri" w:eastAsia="Calibri" w:hAnsi="Calibri"/>
                      <w:color w:val="F3F1EA"/>
                      <w:sz w:val="18"/>
                      <w:szCs w:val="18"/>
                    </w:rPr>
                    <w:t xml:space="preserve">Falscher Empfänger: Der Appell gilt den Spielern, geht aber per Pressekonferenz an Journalisten – die Spieler erfahren ihn aus der Zeitung.</w:t>
                  </w:r>
                </w:p>
              </w:tc>
            </w:tr>
          </w:tbl>
          <w:p/>
        </w:tc>
      </w:tr>
      <w:tr>
        <w:trPr>
          <w:cantSplit/>
        </w:trPr>
        <w:tc>
          <w:tcPr>
            <w:tcW w:type="dxa" w:w="15138"/>
            <w:tcBorders>
              <w:top w:val="none" w:color="FFFFFF" w:sz="0"/>
              <w:left w:val="none" w:color="FFFFFF" w:sz="0"/>
              <w:bottom w:val="none" w:color="FFFFFF" w:sz="0"/>
              <w:right w:val="none" w:color="FFFFFF" w:sz="0"/>
            </w:tcBorders>
            <w:shd w:fill="2E4A3B" w:color="auto" w:val="clear"/>
            <w:tcMar>
              <w:top w:type="dxa" w:w="100"/>
              <w:left w:type="dxa" w:w="200"/>
              <w:bottom w:type="dxa" w:w="100"/>
              <w:right w:type="dxa" w:w="200"/>
            </w:tcMar>
            <w:vAlign w:val="top"/>
          </w:tcPr>
          <w:tbl>
            <w:tblPr>
              <w:tblW w:type="dxa" w:w="14738"/>
              <w:tblBorders>
                <w:top w:val="single" w:color="auto" w:sz="4"/>
                <w:left w:val="single" w:color="auto" w:sz="4"/>
                <w:bottom w:val="single" w:color="auto" w:sz="4"/>
                <w:right w:val="single" w:color="auto" w:sz="4"/>
                <w:insideH w:val="single" w:color="auto" w:sz="4"/>
                <w:insideV w:val="single" w:color="auto" w:sz="4"/>
              </w:tblBorders>
            </w:tblPr>
            <w:tblGrid>
              <w:gridCol w:w="7000"/>
              <w:gridCol w:w="7738"/>
            </w:tblGrid>
            <w:tr>
              <w:trPr>
                <w:cantSplit/>
              </w:trPr>
              <w:tc>
                <w:tcPr>
                  <w:tcW w:type="dxa" w:w="7000"/>
                  <w:tcBorders>
                    <w:top w:val="single" w:color="6E8C7A" w:sz="6"/>
                    <w:left w:val="single" w:color="6E8C7A" w:sz="6"/>
                    <w:bottom w:val="single" w:color="6E8C7A" w:sz="6"/>
                    <w:right w:val="single" w:color="6E8C7A" w:sz="6"/>
                  </w:tcBorders>
                  <w:shd w:fill="3A5A48" w:color="auto" w:val="clear"/>
                  <w:tcMar>
                    <w:top w:type="dxa" w:w="100"/>
                    <w:left w:type="dxa" w:w="110"/>
                    <w:bottom w:type="dxa" w:w="100"/>
                    <w:right w:type="dxa" w:w="110"/>
                  </w:tcMar>
                  <w:vAlign w:val="top"/>
                </w:tcPr>
                <w:p>
                  <w:pPr>
                    <w:spacing w:after="40" w:before="0"/>
                  </w:pPr>
                  <w:r>
                    <w:rPr>
                      <w:rFonts w:ascii="Calibri" w:cs="Calibri" w:eastAsia="Calibri" w:hAnsi="Calibri"/>
                      <w:b/>
                      <w:bCs/>
                      <w:color w:val="C9C3A8"/>
                      <w:sz w:val="18"/>
                      <w:szCs w:val="18"/>
                    </w:rPr>
                    <w:t xml:space="preserve">⑤ </w:t>
                  </w:r>
                  <w:r>
                    <w:rPr>
                      <w:rFonts w:ascii="Calibri" w:cs="Calibri" w:eastAsia="Calibri" w:hAnsi="Calibri"/>
                      <w:b/>
                      <w:bCs/>
                      <w:color w:val="F3F1EA"/>
                      <w:sz w:val="20"/>
                      <w:szCs w:val="20"/>
                    </w:rPr>
                    <w:t xml:space="preserve">Spieler öffentlich an den Pranger stellen – wozu führt das?</w:t>
                  </w:r>
                </w:p>
                <w:p>
                  <w:pPr>
                    <w:spacing w:after="20" w:before="0"/>
                  </w:pPr>
                  <w:r>
                    <w:rPr>
                      <w:rFonts w:ascii="Calibri" w:cs="Calibri" w:eastAsia="Calibri" w:hAnsi="Calibri"/>
                      <w:color w:val="F3F1EA"/>
                      <w:sz w:val="18"/>
                      <w:szCs w:val="18"/>
                    </w:rPr>
                    <w:t xml:space="preserve">Demütigung → Spieler machen dicht → Vertrauen weg → Mannschaft gegen Trainer</w:t>
                  </w:r>
                </w:p>
                <w:p>
                  <w:pPr>
                    <w:spacing w:after="20" w:before="0"/>
                  </w:pPr>
                  <w:r>
                    <w:rPr>
                      <w:rFonts w:ascii="Calibri" w:cs="Calibri" w:eastAsia="Calibri" w:hAnsi="Calibri"/>
                      <w:color w:val="F3F1EA"/>
                      <w:sz w:val="18"/>
                      <w:szCs w:val="18"/>
                    </w:rPr>
                    <w:t xml:space="preserve">Medien feiern die Sprache, nicht die Kritik → Sache geht verloren</w:t>
                  </w:r>
                </w:p>
                <w:p>
                  <w:pPr>
                    <w:spacing w:after="0" w:before="0"/>
                  </w:pPr>
                  <w:r>
                    <w:rPr>
                      <w:rFonts w:ascii="Calibri" w:cs="Calibri" w:eastAsia="Calibri" w:hAnsi="Calibri"/>
                      <w:b/>
                      <w:bCs/>
                      <w:color w:val="F5D76E"/>
                      <w:sz w:val="19"/>
                      <w:szCs w:val="19"/>
                    </w:rPr>
                    <w:t xml:space="preserve">⇒ Der Trainer verliert: Autorität, Rückhalt, am Ende das Amt.</w:t>
                  </w:r>
                </w:p>
              </w:tc>
              <w:tc>
                <w:tcPr>
                  <w:tcW w:type="dxa" w:w="7738"/>
                  <w:tcBorders>
                    <w:top w:val="single" w:color="6E8C7A" w:sz="6"/>
                    <w:left w:val="single" w:color="6E8C7A" w:sz="6"/>
                    <w:bottom w:val="single" w:color="6E8C7A" w:sz="6"/>
                    <w:right w:val="single" w:color="6E8C7A" w:sz="6"/>
                  </w:tcBorders>
                  <w:shd w:fill="3A5A48" w:color="auto" w:val="clear"/>
                  <w:tcMar>
                    <w:top w:type="dxa" w:w="100"/>
                    <w:left w:type="dxa" w:w="110"/>
                    <w:bottom w:type="dxa" w:w="100"/>
                    <w:right w:type="dxa" w:w="110"/>
                  </w:tcMar>
                  <w:vAlign w:val="top"/>
                </w:tcPr>
                <w:p>
                  <w:pPr>
                    <w:spacing w:after="40" w:before="0"/>
                  </w:pPr>
                  <w:r>
                    <w:rPr>
                      <w:rFonts w:ascii="Calibri" w:cs="Calibri" w:eastAsia="Calibri" w:hAnsi="Calibri"/>
                      <w:b/>
                      <w:bCs/>
                      <w:color w:val="C9C3A8"/>
                      <w:sz w:val="18"/>
                      <w:szCs w:val="18"/>
                    </w:rPr>
                    <w:t xml:space="preserve">⑥ </w:t>
                  </w:r>
                  <w:r>
                    <w:rPr>
                      <w:rFonts w:ascii="Calibri" w:cs="Calibri" w:eastAsia="Calibri" w:hAnsi="Calibri"/>
                      <w:b/>
                      <w:bCs/>
                      <w:color w:val="F5D76E"/>
                      <w:sz w:val="20"/>
                      <w:szCs w:val="20"/>
                    </w:rPr>
                    <w:t xml:space="preserve">Jetzt bringt ihr das in Ordnung!</w:t>
                  </w:r>
                </w:p>
                <w:p>
                  <w:pPr>
                    <w:spacing w:after="20" w:before="0"/>
                  </w:pPr>
                  <w:r>
                    <w:rPr>
                      <w:rFonts w:ascii="Calibri" w:cs="Calibri" w:eastAsia="Calibri" w:hAnsi="Calibri"/>
                      <w:color w:val="F3F1EA"/>
                      <w:sz w:val="18"/>
                      <w:szCs w:val="18"/>
                    </w:rPr>
                    <w:t xml:space="preserve">Schreibt als Trapattoni einen Brief an die Spieler.</w:t>
                  </w:r>
                </w:p>
                <w:p>
                  <w:pPr>
                    <w:spacing w:after="20" w:before="0"/>
                  </w:pPr>
                  <w:r>
                    <w:rPr>
                      <w:rFonts w:ascii="Calibri" w:cs="Calibri" w:eastAsia="Calibri" w:hAnsi="Calibri"/>
                      <w:color w:val="F3F1EA"/>
                      <w:sz w:val="17"/>
                      <w:szCs w:val="17"/>
                    </w:rPr>
                    <w:t xml:space="preserve">• alle vier Seiten „heilen“  • Ich-Botschaft  • Empathie  • konkrete Bitte  • Metakommunikation</w:t>
                  </w:r>
                </w:p>
                <w:p>
                  <w:pPr>
                    <w:spacing w:after="0" w:before="0"/>
                  </w:pPr>
                  <w:r>
                    <w:rPr>
                      <w:rFonts w:ascii="Calibri" w:cs="Calibri" w:eastAsia="Calibri" w:hAnsi="Calibri"/>
                      <w:i/>
                      <w:iCs/>
                      <w:color w:val="C9C3A8"/>
                      <w:sz w:val="17"/>
                      <w:szCs w:val="17"/>
                    </w:rPr>
                    <w:t xml:space="preserve">Wahl: Der Brief kann als Test gewertet werden.</w:t>
                  </w:r>
                </w:p>
              </w:tc>
            </w:tr>
          </w:tbl>
          <w:p/>
        </w:tc>
      </w:tr>
    </w:tbl>
    <w:p>
      <w:pPr>
        <w:pageBreakBefore/>
        <w:spacing w:after="20" w:before="0"/>
      </w:pPr>
      <w:r>
        <w:rPr>
          <w:rFonts w:ascii="Calibri" w:cs="Calibri" w:eastAsia="Calibri" w:hAnsi="Calibri"/>
          <w:b/>
          <w:bCs/>
          <w:color w:val="5B6B8C"/>
          <w:sz w:val="18"/>
          <w:szCs w:val="18"/>
        </w:rPr>
        <w:t xml:space="preserve">TAFELSCRIPT · ABLAUF</w:t>
      </w:r>
    </w:p>
    <w:p>
      <w:pPr>
        <w:spacing w:after="60" w:before="0"/>
      </w:pPr>
      <w:r>
        <w:rPr>
          <w:rFonts w:ascii="Cambria" w:cs="Cambria" w:eastAsia="Cambria" w:hAnsi="Cambria"/>
          <w:b/>
          <w:bCs/>
          <w:color w:val="1E2761"/>
          <w:sz w:val="40"/>
          <w:szCs w:val="40"/>
        </w:rPr>
        <w:t xml:space="preserve">Wann kommt was an die Tafel?</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4400"/>
        <w:gridCol w:w="4538"/>
        <w:gridCol w:w="2900"/>
      </w:tblGrid>
      <w:tr>
        <w:trPr>
          <w:cantSplit/>
          <w:trHeight w:val="420" w:hRule="atLeast"/>
        </w:trPr>
        <w:tc>
          <w:tcPr>
            <w:tcW w:type="dxa" w:w="7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
            </w:r>
          </w:p>
        </w:tc>
        <w:tc>
          <w:tcPr>
            <w:tcW w:type="dxa" w:w="26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Phase</w:t>
            </w:r>
          </w:p>
        </w:tc>
        <w:tc>
          <w:tcPr>
            <w:tcW w:type="dxa" w:w="44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Was an die Tafel kommt</w:t>
            </w:r>
          </w:p>
        </w:tc>
        <w:tc>
          <w:tcPr>
            <w:tcW w:type="dxa" w:w="4538"/>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Ihre Moderation / Impuls</w:t>
            </w:r>
          </w:p>
        </w:tc>
        <w:tc>
          <w:tcPr>
            <w:tcW w:type="dxa" w:w="29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Klasse</w:t>
            </w:r>
          </w:p>
        </w:tc>
      </w:tr>
      <w:tr>
        <w:trPr>
          <w:cantSplit/>
          <w:trHeight w:val="70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①</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Einstieg: Präsentation</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Überschrift erst nach dem Video aufdecken – vorher nur: „Ein Trainer – ein Fehltritt“.</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„Ich präsentiere euch jemanden aus dem Sport, bei dem es zu Kommunikationsstörungen kam – ein Trainer, der sich einen richtigen Fehltritt geleistet hat.“ Foto zeigen, noch keinen Namen.</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stellen Vermutungen an (Wer? Was ist passiert?)</w:t>
            </w:r>
          </w:p>
        </w:tc>
      </w:tr>
      <w:tr>
        <w:trPr>
          <w:cantSplit/>
          <w:trHeight w:val="70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②</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Hypothese + Beobachtungsauftrag</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Hypothese (gelb unterstrichen). Leere Tabelle: Spalte 1 mit den vier Seiten in Kreidefarben, Überschriften der Spalten 2 und 3.</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„Das ist meine Hypothese: Trapattoni verletzt alle vier Seiten. Ihr sollt sie beweisen – mit Zitaten.“ Auftrag vor dem Video: „Überlegt beim Zuschauen: Welche Seite wird wie verletzt?“</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notieren beim Video Stichworte und Zitate zu den vier Seiten</w:t>
            </w:r>
          </w:p>
        </w:tc>
      </w:tr>
      <w:tr>
        <w:trPr>
          <w:cantSplit/>
          <w:trHeight w:val="70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③</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Video + Belege sammeln</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Spalte 2: Inhalt in Kreideweiß, Zitate in der Farbe der jeweiligen Seite. Überschrift jetzt vollständig anschreiben.</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Video (ca. 3,5 Min.). Danach Transkript austeilen – die Zitate sind im Video schwer mitzuschreiben. Impuls: „Wo verletzt er die Sachebene? Belegt es!“ – Seite für Seite, Schüler nehmen sich gegenseitig dran.</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belegen jede Seite mit einem Zitat aus dem Transkript</w:t>
            </w:r>
          </w:p>
        </w:tc>
      </w:tr>
      <w:tr>
        <w:trPr>
          <w:cantSplit/>
          <w:trHeight w:val="70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④</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Störung benennen</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Spalte 3 erst, wenn alle vier Zeilen belegt sind.</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„Wir haben gesehen, WAS er sendet. Wo genau liegt jeweils die Störung?“ Tipp: bei Appell fragen „An wen richtet er sich – und wer hört ihn?“</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formulieren die Störung je Seite</w:t>
            </w:r>
          </w:p>
        </w:tc>
      </w:tr>
      <w:tr>
        <w:trPr>
          <w:cantSplit/>
          <w:trHeight w:val="70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⑤</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Fazit: öffentlicher Pranger</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Kasten unten links, als Pfeilkette.</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„Spieler öffentlich an den Pranger zu stellen – wozu führt das?“ Ergebnis zuspitzen: Der Trainer verliert.</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entwickeln Folgen (Spieler, Mannschaft, Medien, Trainer)</w:t>
            </w:r>
          </w:p>
        </w:tc>
      </w:tr>
      <w:tr>
        <w:trPr>
          <w:cantSplit/>
          <w:trHeight w:val="70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D9534F"/>
                <w:sz w:val="30"/>
                <w:szCs w:val="30"/>
              </w:rPr>
              <w:t xml:space="preserve">⑥</w:t>
            </w:r>
          </w:p>
        </w:tc>
        <w:tc>
          <w:tcPr>
            <w:tcW w:type="dxa" w:w="26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Transfer: Brief (letzte 20–25 Min.)</w:t>
            </w:r>
          </w:p>
        </w:tc>
        <w:tc>
          <w:tcPr>
            <w:tcW w:type="dxa" w:w="44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Kasten unten rechts mit Auftrag und Kriterien.</w:t>
            </w:r>
          </w:p>
        </w:tc>
        <w:tc>
          <w:tcPr>
            <w:tcW w:type="dxa" w:w="45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„Jetzt bringt ihr das in Ordnung.“ Hinweis: Der Brief kann als Test gewertet werden (Wahl). Kriterien siehe Seite 3.</w:t>
            </w:r>
          </w:p>
        </w:tc>
        <w:tc>
          <w:tcPr>
            <w:tcW w:type="dxa" w:w="29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5B6B8C"/>
                <w:sz w:val="19"/>
                <w:szCs w:val="19"/>
              </w:rPr>
              <w:t xml:space="preserve">schreiben einzeln einen Brief als Trapattoni an die Spieler</w:t>
            </w:r>
          </w:p>
        </w:tc>
      </w:tr>
    </w:tbl>
    <w:p>
      <w:pPr>
        <w:spacing w:after="120" w:before="0"/>
      </w:pPr>
      <w:r>
        <w:rPr>
          <w:rFonts w:ascii="Calibri" w:cs="Calibri" w:eastAsia="Calibri" w:hAnsi="Calibri"/>
          <w:color w:val="000000"/>
          <w:sz w:val="22"/>
          <w:szCs w:val="22"/>
        </w:rPr>
        <w:t xml:space="preserve"/>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none" w:color="FFFFFF" w:sz="0"/>
              <w:left w:val="none" w:color="FFFFFF" w:sz="0"/>
              <w:bottom w:val="none" w:color="FFFFFF" w:sz="0"/>
              <w:right w:val="none" w:color="FFFFFF" w:sz="0"/>
            </w:tcBorders>
            <w:shd w:fill="EAF0FA" w:color="auto" w:val="clear"/>
            <w:tcMar>
              <w:top w:type="dxa" w:w="120"/>
              <w:left w:type="dxa" w:w="110"/>
              <w:bottom w:type="dxa" w:w="120"/>
              <w:right w:type="dxa" w:w="110"/>
            </w:tcMar>
            <w:vAlign w:val="top"/>
          </w:tcPr>
          <w:p>
            <w:pPr>
              <w:spacing w:after="40" w:before="0"/>
            </w:pPr>
            <w:r>
              <w:rPr>
                <w:rFonts w:ascii="Calibri" w:cs="Calibri" w:eastAsia="Calibri" w:hAnsi="Calibri"/>
                <w:b/>
                <w:bCs/>
                <w:color w:val="1E2761"/>
                <w:sz w:val="20"/>
                <w:szCs w:val="20"/>
              </w:rPr>
              <w:t xml:space="preserve">Hintergrund: </w:t>
            </w:r>
            <w:r>
              <w:rPr>
                <w:rFonts w:ascii="Calibri" w:cs="Calibri" w:eastAsia="Calibri" w:hAnsi="Calibri"/>
                <w:color w:val="000000"/>
                <w:sz w:val="20"/>
                <w:szCs w:val="20"/>
              </w:rPr>
              <w:t xml:space="preserve">Pressekonferenz des FC Bayern München am 10. März 1998 nach einer 0:1-Niederlage bei Schalke 04. Trapattoni kritisiert namentlich Thomas Strunz, Mario Basler und Mehmet Scholl. Am Saisonende verlässt er den Verein.</w:t>
            </w:r>
          </w:p>
          <w:p>
            <w:pPr>
              <w:spacing w:after="40" w:before="0"/>
            </w:pPr>
            <w:r>
              <w:rPr>
                <w:rFonts w:ascii="Calibri" w:cs="Calibri" w:eastAsia="Calibri" w:hAnsi="Calibri"/>
                <w:b/>
                <w:bCs/>
                <w:color w:val="D9534F"/>
                <w:sz w:val="20"/>
                <w:szCs w:val="20"/>
              </w:rPr>
              <w:t xml:space="preserve">Achtung beim Sachinhalt: </w:t>
            </w:r>
            <w:r>
              <w:rPr>
                <w:rFonts w:ascii="Calibri" w:cs="Calibri" w:eastAsia="Calibri" w:hAnsi="Calibri"/>
                <w:color w:val="000000"/>
                <w:sz w:val="20"/>
                <w:szCs w:val="20"/>
              </w:rPr>
              <w:t xml:space="preserve">Die Störung ist nicht Trapattonis Deutsch an sich, sondern dass die Aufmerksamkeit auf die Form springt („Flasche leer“) und der Inhalt verloren geht. Das Lachen der Klasse beim Video kann man genau so aufgreifen: „Worüber lacht ihr – und was hat er eigentlich gesagt?“</w:t>
            </w:r>
          </w:p>
          <w:p>
            <w:pPr>
              <w:spacing w:after="40" w:before="0"/>
            </w:pPr>
            <w:r>
              <w:rPr>
                <w:rFonts w:ascii="Calibri" w:cs="Calibri" w:eastAsia="Calibri" w:hAnsi="Calibri"/>
                <w:b/>
                <w:bCs/>
                <w:color w:val="1E2761"/>
                <w:sz w:val="20"/>
                <w:szCs w:val="20"/>
              </w:rPr>
              <w:t xml:space="preserve">Zitate und Eckdaten: </w:t>
            </w:r>
            <w:r>
              <w:rPr>
                <w:rFonts w:ascii="Calibri" w:cs="Calibri" w:eastAsia="Calibri" w:hAnsi="Calibri"/>
                <w:color w:val="000000"/>
                <w:sz w:val="20"/>
                <w:szCs w:val="20"/>
              </w:rPr>
              <w:t xml:space="preserve">Die Zitate folgen verbreiteten Transkripten der Rede. Bitte vor der Stunde mit dem Video abgleichen, das Sie zeigen – Schreibweisen weichen je nach Quelle leicht ab. Auch Datum und Spielergebnis kurz gegenprüfen.</w:t>
            </w:r>
          </w:p>
        </w:tc>
      </w:tr>
    </w:tbl>
    <w:p>
      <w:pPr>
        <w:pageBreakBefore/>
        <w:spacing w:after="20" w:before="0"/>
      </w:pPr>
      <w:r>
        <w:rPr>
          <w:rFonts w:ascii="Calibri" w:cs="Calibri" w:eastAsia="Calibri" w:hAnsi="Calibri"/>
          <w:b/>
          <w:bCs/>
          <w:color w:val="5B6B8C"/>
          <w:sz w:val="18"/>
          <w:szCs w:val="18"/>
        </w:rPr>
        <w:t xml:space="preserve">TAFELSCRIPT · TRANSFER ⑥</w:t>
      </w:r>
    </w:p>
    <w:p>
      <w:pPr>
        <w:spacing w:after="60" w:before="0"/>
      </w:pPr>
      <w:r>
        <w:rPr>
          <w:rFonts w:ascii="Cambria" w:cs="Cambria" w:eastAsia="Cambria" w:hAnsi="Cambria"/>
          <w:b/>
          <w:bCs/>
          <w:color w:val="1E2761"/>
          <w:sz w:val="40"/>
          <w:szCs w:val="40"/>
        </w:rPr>
        <w:t xml:space="preserve">„Jetzt bringt ihr das in Ordnung“ – Brief an die Spieler</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none" w:color="FFFFFF" w:sz="0"/>
              <w:left w:val="none" w:color="FFFFFF" w:sz="0"/>
              <w:bottom w:val="none" w:color="FFFFFF" w:sz="0"/>
              <w:right w:val="none" w:color="FFFFFF" w:sz="0"/>
            </w:tcBorders>
            <w:shd w:fill="EAF0FA" w:color="auto" w:val="clear"/>
            <w:tcMar>
              <w:top w:type="dxa" w:w="120"/>
              <w:left w:type="dxa" w:w="110"/>
              <w:bottom w:type="dxa" w:w="120"/>
              <w:right w:type="dxa" w:w="110"/>
            </w:tcMar>
            <w:vAlign w:val="top"/>
          </w:tcPr>
          <w:p>
            <w:pPr>
              <w:spacing w:after="40" w:before="0"/>
            </w:pPr>
            <w:r>
              <w:rPr>
                <w:rFonts w:ascii="Calibri" w:cs="Calibri" w:eastAsia="Calibri" w:hAnsi="Calibri"/>
                <w:b/>
                <w:bCs/>
                <w:color w:val="1E2761"/>
                <w:sz w:val="22"/>
                <w:szCs w:val="22"/>
              </w:rPr>
              <w:t xml:space="preserve">Auftrag (Tafel / mündlich): </w:t>
            </w:r>
            <w:r>
              <w:rPr>
                <w:rFonts w:ascii="Calibri" w:cs="Calibri" w:eastAsia="Calibri" w:hAnsi="Calibri"/>
                <w:color w:val="000000"/>
                <w:sz w:val="21"/>
                <w:szCs w:val="21"/>
              </w:rPr>
              <w:t xml:space="preserve">Schreibe als Giovanni Trapattoni einen Brief an Thomas Strunz, Mario Basler und Mehmet Scholl. Bringe die Missverständnisse aus der Pressekonferenz in Ordnung – so, dass alle vier Seiten der Nachricht wieder stimmen. Nutze die Techniken aus der letzten Stunde.</w:t>
            </w:r>
          </w:p>
          <w:p>
            <w:pPr>
              <w:spacing w:after="40" w:before="0"/>
            </w:pPr>
            <w:r>
              <w:rPr>
                <w:rFonts w:ascii="Calibri" w:cs="Calibri" w:eastAsia="Calibri" w:hAnsi="Calibri"/>
                <w:b/>
                <w:bCs/>
                <w:color w:val="D9534F"/>
                <w:sz w:val="22"/>
                <w:szCs w:val="22"/>
              </w:rPr>
              <w:t xml:space="preserve">Test zur Wahl: </w:t>
            </w:r>
            <w:r>
              <w:rPr>
                <w:rFonts w:ascii="Calibri" w:cs="Calibri" w:eastAsia="Calibri" w:hAnsi="Calibri"/>
                <w:color w:val="000000"/>
                <w:sz w:val="21"/>
                <w:szCs w:val="21"/>
              </w:rPr>
              <w:t xml:space="preserve">Wer möchte, gibt den Brief als Testleistung ab. Die Entscheidung fällt vor dem Schreiben (Kreuz auf dem Blatt: ☐ als Test werten).</w:t>
            </w:r>
          </w:p>
        </w:tc>
      </w:tr>
    </w:tbl>
    <w:p>
      <w:pPr>
        <w:keepNext/>
        <w:spacing w:after="80" w:before="160"/>
      </w:pPr>
      <w:r>
        <w:rPr>
          <w:rFonts w:ascii="Cambria" w:cs="Cambria" w:eastAsia="Cambria" w:hAnsi="Cambria"/>
          <w:b/>
          <w:bCs/>
          <w:color w:val="D9534F"/>
          <w:sz w:val="26"/>
          <w:szCs w:val="26"/>
        </w:rPr>
        <w:t xml:space="preserve">✓  </w:t>
      </w:r>
      <w:r>
        <w:rPr>
          <w:rFonts w:ascii="Cambria" w:cs="Cambria" w:eastAsia="Cambria" w:hAnsi="Cambria"/>
          <w:b/>
          <w:bCs/>
          <w:color w:val="1E2761"/>
          <w:sz w:val="26"/>
          <w:szCs w:val="26"/>
        </w:rPr>
        <w:t xml:space="preserve">Bewertungskriterien</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3400"/>
        <w:gridCol w:w="7738"/>
        <w:gridCol w:w="2000"/>
        <w:gridCol w:w="2000"/>
      </w:tblGrid>
      <w:tr>
        <w:trPr>
          <w:cantSplit/>
          <w:trHeight w:val="420" w:hRule="atLeast"/>
        </w:trPr>
        <w:tc>
          <w:tcPr>
            <w:tcW w:type="dxa" w:w="34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Kriterium</w:t>
            </w:r>
          </w:p>
        </w:tc>
        <w:tc>
          <w:tcPr>
            <w:tcW w:type="dxa" w:w="7738"/>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Erwartung</w:t>
            </w:r>
          </w:p>
        </w:tc>
        <w:tc>
          <w:tcPr>
            <w:tcW w:type="dxa" w:w="20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Punkte</w:t>
            </w:r>
          </w:p>
        </w:tc>
        <w:tc>
          <w:tcPr>
            <w:tcW w:type="dxa" w:w="2000"/>
            <w:tcBorders>
              <w:top w:val="single" w:color="B9C6E8" w:sz="6"/>
              <w:left w:val="single" w:color="B9C6E8" w:sz="6"/>
              <w:bottom w:val="single" w:color="B9C6E8" w:sz="6"/>
              <w:right w:val="single" w:color="B9C6E8" w:sz="6"/>
            </w:tcBorders>
            <w:shd w:fill="1E2761" w:color="auto" w:val="clear"/>
            <w:tcMar>
              <w:top w:type="dxa" w:w="60"/>
              <w:left w:type="dxa" w:w="110"/>
              <w:bottom w:type="dxa" w:w="60"/>
              <w:right w:type="dxa" w:w="110"/>
            </w:tcMar>
            <w:vAlign w:val="center"/>
          </w:tcPr>
          <w:p>
            <w:pPr>
              <w:spacing w:after="0" w:before="0"/>
              <w:jc w:val="center"/>
            </w:pPr>
            <w:r>
              <w:rPr>
                <w:rFonts w:ascii="Calibri" w:cs="Calibri" w:eastAsia="Calibri" w:hAnsi="Calibri"/>
                <w:b/>
                <w:bCs/>
                <w:color w:val="FFFFFF"/>
                <w:sz w:val="20"/>
                <w:szCs w:val="20"/>
              </w:rPr>
              <w:t xml:space="preserve">erreicht</w:t>
            </w:r>
          </w:p>
        </w:tc>
      </w:tr>
      <w:tr>
        <w:trPr>
          <w:cantSplit/>
          <w:trHeight w:val="560" w:hRule="atLeast"/>
        </w:trPr>
        <w:tc>
          <w:tcPr>
            <w:tcW w:type="dxa" w:w="3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Sachinhalt klären</w:t>
            </w:r>
          </w:p>
        </w:tc>
        <w:tc>
          <w:tcPr>
            <w:tcW w:type="dxa" w:w="7738"/>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Benennt die Kritik sachlich und konkret (z. B. Defensivarbeit, Einsatz im Training) – ohne Beleidigung und ohne „Flasche leer“.</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2"/>
                <w:szCs w:val="22"/>
              </w:rPr>
              <w:t xml:space="preserve">4</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560" w:hRule="atLeast"/>
        </w:trPr>
        <w:tc>
          <w:tcPr>
            <w:tcW w:type="dxa" w:w="3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Selbstoffenbarung ehrlich</w:t>
            </w:r>
          </w:p>
        </w:tc>
        <w:tc>
          <w:tcPr>
            <w:tcW w:type="dxa" w:w="7738"/>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Zeigt Frust und Enttäuschung als Ich-Botschaft („Ich war enttäuscht, als …“) statt als Wutausbruch.</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2"/>
                <w:szCs w:val="22"/>
              </w:rPr>
              <w:t xml:space="preserve">4</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560" w:hRule="atLeast"/>
        </w:trPr>
        <w:tc>
          <w:tcPr>
            <w:tcW w:type="dxa" w:w="3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Beziehung reparieren</w:t>
            </w:r>
          </w:p>
        </w:tc>
        <w:tc>
          <w:tcPr>
            <w:tcW w:type="dxa" w:w="7738"/>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Entschuldigt sich für die öffentliche Kritik, zeigt Respekt, geht auf die Sicht der Spieler ein (Empathie).</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2"/>
                <w:szCs w:val="22"/>
              </w:rPr>
              <w:t xml:space="preserve">4</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560" w:hRule="atLeast"/>
        </w:trPr>
        <w:tc>
          <w:tcPr>
            <w:tcW w:type="dxa" w:w="3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Appell an die Richtigen</w:t>
            </w:r>
          </w:p>
        </w:tc>
        <w:tc>
          <w:tcPr>
            <w:tcW w:type="dxa" w:w="7738"/>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Richtet eine konkrete, erfüllbare Bitte direkt an die Spieler (wer, was, bis wann) – z. B. Gespräch unter vier Augen, Einsatz am Samstag.</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2"/>
                <w:szCs w:val="22"/>
              </w:rPr>
              <w:t xml:space="preserve">4</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560" w:hRule="atLeast"/>
        </w:trPr>
        <w:tc>
          <w:tcPr>
            <w:tcW w:type="dxa" w:w="3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Metakommunikation</w:t>
            </w:r>
          </w:p>
        </w:tc>
        <w:tc>
          <w:tcPr>
            <w:tcW w:type="dxa" w:w="7738"/>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Spricht über die Pressekonferenz selbst: was schiefgelaufen ist und wie man künftig miteinander redet (intern statt über die Medien).</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2"/>
                <w:szCs w:val="22"/>
              </w:rPr>
              <w:t xml:space="preserve">2</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560" w:hRule="atLeast"/>
        </w:trPr>
        <w:tc>
          <w:tcPr>
            <w:tcW w:type="dxa" w:w="3400"/>
            <w:tcBorders>
              <w:top w:val="single" w:color="B9C6E8" w:sz="6"/>
              <w:left w:val="single" w:color="B9C6E8" w:sz="6"/>
              <w:bottom w:val="single" w:color="B9C6E8" w:sz="6"/>
              <w:right w:val="single" w:color="B9C6E8" w:sz="6"/>
            </w:tcBorders>
            <w:shd w:fill="F4F7FD"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Form</w:t>
            </w:r>
          </w:p>
        </w:tc>
        <w:tc>
          <w:tcPr>
            <w:tcW w:type="dxa" w:w="7738"/>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0" w:before="0"/>
            </w:pPr>
            <w:r>
              <w:rPr>
                <w:rFonts w:ascii="Calibri" w:cs="Calibri" w:eastAsia="Calibri" w:hAnsi="Calibri"/>
                <w:color w:val="000000"/>
                <w:sz w:val="19"/>
                <w:szCs w:val="19"/>
              </w:rPr>
              <w:t xml:space="preserve">Briefform (Ort, Datum, Anrede, Schluss), passender Ton, sprachlich korrekt.</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center"/>
          </w:tcPr>
          <w:p>
            <w:pPr>
              <w:spacing w:after="0" w:before="0"/>
              <w:jc w:val="center"/>
            </w:pPr>
            <w:r>
              <w:rPr>
                <w:rFonts w:ascii="Calibri" w:cs="Calibri" w:eastAsia="Calibri" w:hAnsi="Calibri"/>
                <w:b/>
                <w:bCs/>
                <w:color w:val="000000"/>
                <w:sz w:val="22"/>
                <w:szCs w:val="22"/>
              </w:rPr>
              <w:t xml:space="preserve">2</w:t>
            </w:r>
          </w:p>
        </w:tc>
        <w:tc>
          <w:tcPr>
            <w:tcW w:type="dxa" w:w="2000"/>
            <w:tcBorders>
              <w:top w:val="single" w:color="B9C6E8" w:sz="6"/>
              <w:left w:val="single" w:color="B9C6E8" w:sz="6"/>
              <w:bottom w:val="single" w:color="B9C6E8" w:sz="6"/>
              <w:right w:val="single" w:color="B9C6E8" w:sz="6"/>
            </w:tcBorders>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r>
        <w:trPr>
          <w:cantSplit/>
          <w:trHeight w:val="460" w:hRule="atLeast"/>
        </w:trPr>
        <w:tc>
          <w:tcPr>
            <w:tcW w:type="dxa" w:w="3400"/>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pPr>
            <w:r>
              <w:rPr>
                <w:rFonts w:ascii="Calibri" w:cs="Calibri" w:eastAsia="Calibri" w:hAnsi="Calibri"/>
                <w:b/>
                <w:bCs/>
                <w:color w:val="1E2761"/>
                <w:sz w:val="20"/>
                <w:szCs w:val="20"/>
              </w:rPr>
              <w:t xml:space="preserve">Gesamt</w:t>
            </w:r>
          </w:p>
        </w:tc>
        <w:tc>
          <w:tcPr>
            <w:tcW w:type="dxa" w:w="7738"/>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c>
          <w:tcPr>
            <w:tcW w:type="dxa" w:w="2000"/>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0" w:before="0"/>
              <w:jc w:val="center"/>
            </w:pPr>
            <w:r>
              <w:rPr>
                <w:rFonts w:ascii="Calibri" w:cs="Calibri" w:eastAsia="Calibri" w:hAnsi="Calibri"/>
                <w:b/>
                <w:bCs/>
                <w:color w:val="000000"/>
                <w:sz w:val="22"/>
                <w:szCs w:val="22"/>
              </w:rPr>
              <w:t xml:space="preserve">20</w:t>
            </w:r>
          </w:p>
        </w:tc>
        <w:tc>
          <w:tcPr>
            <w:tcW w:type="dxa" w:w="2000"/>
            <w:tcBorders>
              <w:top w:val="single" w:color="B9C6E8" w:sz="6"/>
              <w:left w:val="single" w:color="B9C6E8" w:sz="6"/>
              <w:bottom w:val="single" w:color="B9C6E8" w:sz="6"/>
              <w:right w:val="single" w:color="B9C6E8" w:sz="6"/>
            </w:tcBorders>
            <w:shd w:fill="EAF0FA" w:color="auto" w:val="clear"/>
            <w:tcMar>
              <w:top w:type="dxa" w:w="60"/>
              <w:left w:type="dxa" w:w="110"/>
              <w:bottom w:type="dxa" w:w="60"/>
              <w:right w:type="dxa" w:w="110"/>
            </w:tcMar>
            <w:vAlign w:val="top"/>
          </w:tcPr>
          <w:p>
            <w:pPr>
              <w:spacing w:after="100" w:before="0"/>
            </w:pPr>
            <w:r>
              <w:rPr>
                <w:rFonts w:ascii="Calibri" w:cs="Calibri" w:eastAsia="Calibri" w:hAnsi="Calibri"/>
                <w:color w:val="000000"/>
                <w:sz w:val="22"/>
                <w:szCs w:val="22"/>
              </w:rPr>
              <w:t xml:space="preserve"/>
            </w:r>
          </w:p>
        </w:tc>
      </w:tr>
    </w:tbl>
    <w:p>
      <w:pPr>
        <w:keepNext/>
        <w:spacing w:after="80" w:before="160"/>
      </w:pPr>
      <w:r>
        <w:rPr>
          <w:rFonts w:ascii="Cambria" w:cs="Cambria" w:eastAsia="Cambria" w:hAnsi="Cambria"/>
          <w:b/>
          <w:bCs/>
          <w:color w:val="D9534F"/>
          <w:sz w:val="26"/>
          <w:szCs w:val="26"/>
        </w:rPr>
        <w:t xml:space="preserve">✎  </w:t>
      </w:r>
      <w:r>
        <w:rPr>
          <w:rFonts w:ascii="Cambria" w:cs="Cambria" w:eastAsia="Cambria" w:hAnsi="Cambria"/>
          <w:b/>
          <w:bCs/>
          <w:color w:val="1E2761"/>
          <w:sz w:val="26"/>
          <w:szCs w:val="26"/>
        </w:rPr>
        <w:t xml:space="preserve">Mögliche Formulierungen (Erwartungshorizont)</w:t>
      </w:r>
    </w:p>
    <w:p>
      <w:pPr>
        <w:spacing w:after="40" w:before="0"/>
      </w:pPr>
      <w:r>
        <w:rPr>
          <w:rFonts w:ascii="Calibri" w:cs="Calibri" w:eastAsia="Calibri" w:hAnsi="Calibri"/>
          <w:b/>
          <w:bCs/>
          <w:color w:val="1E2761"/>
          <w:sz w:val="20"/>
          <w:szCs w:val="20"/>
        </w:rPr>
        <w:t xml:space="preserve">Metakommunikation: </w:t>
      </w:r>
      <w:r>
        <w:rPr>
          <w:rFonts w:ascii="Calibri" w:cs="Calibri" w:eastAsia="Calibri" w:hAnsi="Calibri"/>
          <w:i/>
          <w:iCs/>
          <w:color w:val="000000"/>
          <w:sz w:val="20"/>
          <w:szCs w:val="20"/>
        </w:rPr>
        <w:t xml:space="preserve">„Liebe Spieler, auf der Pressekonferenz am Dienstag habe ich Dinge über euch gesagt, die ich euch persönlich hätte sagen müssen.“</w:t>
      </w:r>
    </w:p>
    <w:p>
      <w:pPr>
        <w:spacing w:after="40" w:before="0"/>
      </w:pPr>
      <w:r>
        <w:rPr>
          <w:rFonts w:ascii="Calibri" w:cs="Calibri" w:eastAsia="Calibri" w:hAnsi="Calibri"/>
          <w:b/>
          <w:bCs/>
          <w:color w:val="1E2761"/>
          <w:sz w:val="20"/>
          <w:szCs w:val="20"/>
        </w:rPr>
        <w:t xml:space="preserve">Ich-Botschaft: </w:t>
      </w:r>
      <w:r>
        <w:rPr>
          <w:rFonts w:ascii="Calibri" w:cs="Calibri" w:eastAsia="Calibri" w:hAnsi="Calibri"/>
          <w:i/>
          <w:iCs/>
          <w:color w:val="000000"/>
          <w:sz w:val="20"/>
          <w:szCs w:val="20"/>
        </w:rPr>
        <w:t xml:space="preserve">„Ich war nach dem Spiel in Schalke sehr enttäuscht und habe mich hilflos gefühlt, weil ich das Gefühl hatte, dass wir nicht als Mannschaft kämpfen.“</w:t>
      </w:r>
    </w:p>
    <w:p>
      <w:pPr>
        <w:spacing w:after="40" w:before="0"/>
      </w:pPr>
      <w:r>
        <w:rPr>
          <w:rFonts w:ascii="Calibri" w:cs="Calibri" w:eastAsia="Calibri" w:hAnsi="Calibri"/>
          <w:b/>
          <w:bCs/>
          <w:color w:val="1E2761"/>
          <w:sz w:val="20"/>
          <w:szCs w:val="20"/>
        </w:rPr>
        <w:t xml:space="preserve">Empathie: </w:t>
      </w:r>
      <w:r>
        <w:rPr>
          <w:rFonts w:ascii="Calibri" w:cs="Calibri" w:eastAsia="Calibri" w:hAnsi="Calibri"/>
          <w:i/>
          <w:iCs/>
          <w:color w:val="000000"/>
          <w:sz w:val="20"/>
          <w:szCs w:val="20"/>
        </w:rPr>
        <w:t xml:space="preserve">„Ich kann verstehen, dass ihr euch vor ganz Deutschland bloßgestellt gefühlt habt. Das tut mir leid.“</w:t>
      </w:r>
    </w:p>
    <w:p>
      <w:pPr>
        <w:spacing w:after="0" w:before="0"/>
      </w:pPr>
      <w:r>
        <w:rPr>
          <w:rFonts w:ascii="Calibri" w:cs="Calibri" w:eastAsia="Calibri" w:hAnsi="Calibri"/>
          <w:b/>
          <w:bCs/>
          <w:color w:val="1E2761"/>
          <w:sz w:val="20"/>
          <w:szCs w:val="20"/>
        </w:rPr>
        <w:t xml:space="preserve">Bitte: </w:t>
      </w:r>
      <w:r>
        <w:rPr>
          <w:rFonts w:ascii="Calibri" w:cs="Calibri" w:eastAsia="Calibri" w:hAnsi="Calibri"/>
          <w:i/>
          <w:iCs/>
          <w:color w:val="000000"/>
          <w:sz w:val="20"/>
          <w:szCs w:val="20"/>
        </w:rPr>
        <w:t xml:space="preserve">„Ich möchte mit jedem von euch vor dem Training am Donnerstag sprechen. Und ich bitte euch, am Samstag in der Defensive mitzuarbeiten – für die Mannschaft.“</w:t>
      </w:r>
    </w:p>
    <w:sectPr>
      <w:footerReference w:type="default" r:id="rId7"/>
      <w:pgSz w:w="16838" w:h="11906" w:orient="landscape"/>
      <w:pgMar w:top="700" w:right="850" w:bottom="700" w:left="850" w:header="708"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Tafelscript · Trapattonis Wutrede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2026-09-30T15:45:09.232Z</dcterms:created>
  <dcterms:modified xsi:type="dcterms:W3CDTF">2026-09-30T15:45:09.233Z</dcterms:modified>
</cp:coreProperties>
</file>

<file path=docProps/custom.xml><?xml version="1.0" encoding="utf-8"?>
<Properties xmlns="http://schemas.openxmlformats.org/officeDocument/2006/custom-properties" xmlns:vt="http://schemas.openxmlformats.org/officeDocument/2006/docPropsVTypes"/>
</file>