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FÜR DIE LEHRKRAFT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Kommunikationsstörungen lösen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21"/>
          <w:szCs w:val="21"/>
        </w:rPr>
        <w:t xml:space="preserve">Doppelstunde (90 Min.) · Klasse 11 · Vorwissen: Kommunikationsmodelle (Schulz von Thun, Watzlawick) und Kommunikationsstörungen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Lernziele 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Schülerinnen und Schüler …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 benennen in einem Dialog den genauen Zeitpunkt, an dem die Kommunikation kippt, und begründen ihn mit Fachbegriffen,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 kennen vier Strategien zur Konfliktlösung (Ich-Botschaft, Empathie, Wunsch/Bitte, Metakommunikation) und wenden sie an,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 entwickeln eigene Konfliktszenen, spielen sie und beobachten die Szenen der anderen kriteriengeleitet.</w:t>
            </w:r>
          </w:p>
        </w:tc>
      </w:tr>
    </w:tbl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Verlaufsplan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500"/>
        <w:gridCol w:w="4406"/>
        <w:gridCol w:w="2000"/>
      </w:tblGrid>
      <w:tr>
        <w:trPr>
          <w:cantSplit/>
          <w:trHeight w:val="440" w:hRule="atLeast"/>
        </w:trPr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Zeit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4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passiert</w:t>
            </w:r>
          </w:p>
        </w:tc>
        <w:tc>
          <w:tcPr>
            <w:tcW w:type="dxa" w:w="2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Sozialform</w:t>
            </w:r>
          </w:p>
        </w:tc>
      </w:tr>
      <w:tr>
        <w:trPr>
          <w:cantSplit/>
          <w:trHeight w:val="560" w:hRule="atLeast"/>
        </w:trPr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0–5'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Stummer Einstieg</w:t>
            </w:r>
          </w:p>
        </w:tc>
        <w:tc>
          <w:tcPr>
            <w:tcW w:type="dxa" w:w="4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M1 liegt auf den Tischen, Folie 2 läuft. Allein lesen, Kipppunkte mit ↯ markieren, dann kurz mit dem Nachbarn vergleichen.</w:t>
            </w:r>
          </w:p>
        </w:tc>
        <w:tc>
          <w:tcPr>
            <w:tcW w:type="dxa" w:w="2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Einzel → Partner</w:t>
            </w:r>
          </w:p>
        </w:tc>
      </w:tr>
      <w:tr>
        <w:trPr>
          <w:cantSplit/>
          <w:trHeight w:val="560" w:hRule="atLeast"/>
        </w:trPr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5–15'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Kipppunkte benennen</w:t>
            </w:r>
          </w:p>
        </w:tc>
        <w:tc>
          <w:tcPr>
            <w:tcW w:type="dxa" w:w="4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Aufgabe 2 (Folie 3). Selbstkontrolle mit Lösungsblatt S. 2 am Pult. Ergänzungen in anderer Farbe.</w:t>
            </w:r>
          </w:p>
        </w:tc>
        <w:tc>
          <w:tcPr>
            <w:tcW w:type="dxa" w:w="2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Partner</w:t>
            </w:r>
          </w:p>
        </w:tc>
      </w:tr>
      <w:tr>
        <w:trPr>
          <w:cantSplit/>
          <w:trHeight w:val="560" w:hRule="atLeast"/>
        </w:trPr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15–35'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Gruppenpuzzle Strategien</w:t>
            </w:r>
          </w:p>
        </w:tc>
        <w:tc>
          <w:tcPr>
            <w:tcW w:type="dxa" w:w="4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Vierergruppen, Rollen- und Expertenkarten A–D. Lesen (5'), erklären (4 × 2'), Dialog ab Z. 3 umschreiben, Checkliste (Folie 4–5).</w:t>
            </w:r>
          </w:p>
        </w:tc>
        <w:tc>
          <w:tcPr>
            <w:tcW w:type="dxa" w:w="2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Gruppe</w:t>
            </w:r>
          </w:p>
        </w:tc>
      </w:tr>
      <w:tr>
        <w:trPr>
          <w:cantSplit/>
          <w:trHeight w:val="560" w:hRule="atLeast"/>
        </w:trPr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35–55'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Eigene Szene</w:t>
            </w:r>
          </w:p>
        </w:tc>
        <w:tc>
          <w:tcPr>
            <w:tcW w:type="dxa" w:w="4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Planungsbogen Aufgabe 4, Situationskarten bei Bedarf. Kurz proben (Folie 6).</w:t>
            </w:r>
          </w:p>
        </w:tc>
        <w:tc>
          <w:tcPr>
            <w:tcW w:type="dxa" w:w="2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Gruppe</w:t>
            </w:r>
          </w:p>
        </w:tc>
      </w:tr>
      <w:tr>
        <w:trPr>
          <w:cantSplit/>
          <w:trHeight w:val="560" w:hRule="atLeast"/>
        </w:trPr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55–85'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Bühne frei</w:t>
            </w:r>
          </w:p>
        </w:tc>
        <w:tc>
          <w:tcPr>
            <w:tcW w:type="dxa" w:w="4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Version A mit Stopp-Karten und Freeze, dann Version B. Schülermoderation, Beobachtungsbogen (Folie 7). Zeit knapp? Nur 3–4 Gruppen, Rest in der nächsten Stunde.</w:t>
            </w:r>
          </w:p>
        </w:tc>
        <w:tc>
          <w:tcPr>
            <w:tcW w:type="dxa" w:w="2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Plenum, schülergeleitet</w:t>
            </w:r>
          </w:p>
        </w:tc>
      </w:tr>
      <w:tr>
        <w:trPr>
          <w:cantSplit/>
          <w:trHeight w:val="560" w:hRule="atLeast"/>
        </w:trPr>
        <w:tc>
          <w:tcPr>
            <w:tcW w:type="dxa" w:w="1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85–90'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Exit-Ticket</w:t>
            </w:r>
          </w:p>
        </w:tc>
        <w:tc>
          <w:tcPr>
            <w:tcW w:type="dxa" w:w="4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Einsammeln an der Tür (Folie 8). Auswertung für die nächste Stunde.</w:t>
            </w:r>
          </w:p>
        </w:tc>
        <w:tc>
          <w:tcPr>
            <w:tcW w:type="dxa" w:w="2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Einzel</w:t>
            </w:r>
          </w:p>
        </w:tc>
      </w:tr>
    </w:tbl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2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Druckliste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606"/>
      </w:tblGrid>
      <w:tr>
        <w:trPr>
          <w:cantSplit/>
          <w:trHeight w:val="340" w:hRule="atLeast"/>
        </w:trPr>
        <w:tc>
          <w:tcPr>
            <w:tcW w:type="dxa" w:w="5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Arbeitsblatt (5 Seiten)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1× pro Person</w:t>
            </w:r>
          </w:p>
        </w:tc>
      </w:tr>
      <w:tr>
        <w:trPr>
          <w:cantSplit/>
          <w:trHeight w:val="340" w:hRule="atLeast"/>
        </w:trPr>
        <w:tc>
          <w:tcPr>
            <w:tcW w:type="dxa" w:w="5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Kartenset S. 1–3: Experten-, Rollen-, Tippkarten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1× pro Gruppe (Tippkarten: 2–3 Sätze fürs Pult)</w:t>
            </w:r>
          </w:p>
        </w:tc>
      </w:tr>
      <w:tr>
        <w:trPr>
          <w:cantSplit/>
          <w:trHeight w:val="340" w:hRule="atLeast"/>
        </w:trPr>
        <w:tc>
          <w:tcPr>
            <w:tcW w:type="dxa" w:w="5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Kartenset S. 4: Situationskarten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1× fürs Pult</w:t>
            </w:r>
          </w:p>
        </w:tc>
      </w:tr>
      <w:tr>
        <w:trPr>
          <w:cantSplit/>
          <w:trHeight w:val="340" w:hRule="atLeast"/>
        </w:trPr>
        <w:tc>
          <w:tcPr>
            <w:tcW w:type="dxa" w:w="5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Kartenset S. 5: Moderationskarte und Exit-Tickets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Moderation 7×, Exit-Tickets 1 pro Person</w:t>
            </w:r>
          </w:p>
        </w:tc>
      </w:tr>
      <w:tr>
        <w:trPr>
          <w:cantSplit/>
          <w:trHeight w:val="340" w:hRule="atLeast"/>
        </w:trPr>
        <w:tc>
          <w:tcPr>
            <w:tcW w:type="dxa" w:w="5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Kartenset S. 6: Stopp-Karten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 pro Person, farbig, am besten laminiert (wiederverwendbar)</w:t>
            </w:r>
          </w:p>
        </w:tc>
      </w:tr>
      <w:tr>
        <w:trPr>
          <w:cantSplit/>
          <w:trHeight w:val="340" w:hRule="atLeast"/>
        </w:trPr>
        <w:tc>
          <w:tcPr>
            <w:tcW w:type="dxa" w:w="5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Lösungsblatt S. 2–3 dieses Dokuments</w:t>
            </w:r>
          </w:p>
        </w:tc>
        <w:tc>
          <w:tcPr>
            <w:tcW w:type="dxa" w:w="4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2–3× fürs Pult (Selbstkontrolle)</w:t>
            </w:r>
          </w:p>
        </w:tc>
      </w:tr>
    </w:tbl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3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So bleibt Ihre Sprechzeit gering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Aufträge stehen auf den Folien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– mit Zeitangabe und sichtbarem Timer. Folie auflegen statt erklären.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Rollenkarten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– die Gruppen organisieren sich selbst. Nur die Material-Person spricht Sie an.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Tippkarten und Lösungsblatt am Pult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ersetzen das Nachfragen und die Besprechung im Plenum.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Stopp-Karten und Schülermoderation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ersetzen das Auswertungsgespräch. Sie beobachten und notieren nur.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Ihre Rolle: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beobachten, gezielt helfen, gelungene Formulierungen für die nächste Stunde notieren.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LÖSUNGSBLATT · SELBSTKONTROLLE AUFGABE 2 · DARF ANS PULT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Kipppunkte in „Das Referat“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Mindestens drei davon solltet ihr gefunden haben. Andere Begründungen sind richtig, wenn sie mit dem Text und einem Modell belegt sind.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4006"/>
        <w:gridCol w:w="2500"/>
      </w:tblGrid>
      <w:tr>
        <w:trPr>
          <w:cantSplit/>
          <w:trHeight w:val="44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Zeile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passiert?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Warum kippt es hier?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hätte geholfen?</w:t>
            </w:r>
          </w:p>
        </w:tc>
      </w:tr>
      <w:tr>
        <w:trPr>
          <w:cantSplit/>
          <w:trHeight w:val="110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3 ★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i/>
                <w:iCs/>
                <w:color w:val="000000"/>
                <w:sz w:val="20"/>
                <w:szCs w:val="20"/>
              </w:rPr>
              <w:t xml:space="preserve">„Du hattest eine ganze Woche Zeit.“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Erster Kipppunkt. Lenas Selbstkundgabe (Ich bin nervös wegen morgen) versteckt sich in einem Vorwurf, also einer Du-Botschaft. Tom hört mit dem Beziehungsohr: „Du hältst mich für unzuverlässig.“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 Ich-Botschaft, C Bitte mit Uhrzeit</w:t>
            </w:r>
          </w:p>
        </w:tc>
      </w:tr>
      <w:tr>
        <w:trPr>
          <w:cantSplit/>
          <w:trHeight w:val="110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4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i/>
                <w:iCs/>
                <w:color w:val="000000"/>
                <w:sz w:val="20"/>
                <w:szCs w:val="20"/>
              </w:rPr>
              <w:t xml:space="preserve">„Nicht jeder hat so viel Freizeit wie du.“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Tom verteidigt sich mit einem Gegenangriff auf der Beziehungsebene statt die Sache zu klären. Beginn der symmetrischen Eskalation: Jeder will „oben“ bleiben.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 Empathie: Lenas Stress anerkennen</w:t>
            </w:r>
          </w:p>
        </w:tc>
      </w:tr>
      <w:tr>
        <w:trPr>
          <w:cantSplit/>
          <w:trHeight w:val="110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5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i/>
                <w:iCs/>
                <w:color w:val="000000"/>
                <w:sz w:val="20"/>
                <w:szCs w:val="20"/>
              </w:rPr>
              <w:t xml:space="preserve">„Immer bleibt alles an mir hängen.“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Verallgemeinerung („immer“). Lenas eigentliches Gefühl (überfordert, allein gelassen) kommt nur als Anklage an. Interpunktion: Beide sehen sich als diejenigen, die nur reagieren.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 Ich-Botschaft, C Bedürfnis nennen</w:t>
            </w:r>
          </w:p>
        </w:tc>
      </w:tr>
      <w:tr>
        <w:trPr>
          <w:cantSplit/>
          <w:trHeight w:val="110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7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i/>
                <w:iCs/>
                <w:color w:val="000000"/>
                <w:sz w:val="20"/>
                <w:szCs w:val="20"/>
              </w:rPr>
              <w:t xml:space="preserve">„Super. Genau das hab ich von dir erwartet.“ (verdreht die Augen)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Ironie: Die Worte sind positiv, Tonfall und Mimik negativ. Das ist eine inkongruente Botschaft (digitale und analoge Ebene widersprechen sich). Zugleich wertet Lena Tom als Person ab.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 Metakommunikation: Streit benennen, gemeinsames Ziel</w:t>
            </w:r>
          </w:p>
        </w:tc>
      </w:tr>
      <w:tr>
        <w:trPr>
          <w:cantSplit/>
          <w:trHeight w:val="110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8–9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i/>
                <w:iCs/>
                <w:color w:val="000000"/>
                <w:sz w:val="20"/>
                <w:szCs w:val="20"/>
              </w:rPr>
              <w:t xml:space="preserve">Tom schaut aufs Handy. Lena: „Ist ja auch wichtiger.“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„Man kann nicht nicht kommunizieren.“ Toms Rückzug ist auch eine Botschaft. Lena deutet ihn als Desinteresse, Tom meint vermutlich: „Ich will nicht mehr streiten.“ Danach ist das Gespräch kaum noch zu retten.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 „Wie meinst du das?“, B Gefühl ansprechen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★ Warum Zeile 3?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Hier ist noch nichts passiert, das man zurücknehmen müsste. Lena will eigentlich nur Sicherheit für morgen. Hätte sie das als Ich-Botschaft gesagt, wäre Tom gar nicht in die Verteidigung gegangen. Jeder spätere Kipppunkt baut auf dem vorherigen auf – je später man eingreift, desto schwerer wird es.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LÖSUNGSBLATT · MUSTERLÖSUNG AUFGABE 3 · DARF ANS PULT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So hätte es laufen können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Eine mögliche Version B. Eure darf ganz anders klingen – wichtig ist, dass sie die Checkliste erfüllt.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6906"/>
        <w:gridCol w:w="1500"/>
      </w:tblGrid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 B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Strategie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Heute Abend? Ehrlich gesagt macht mich das nervös, weil wir morgen schon dran sind und ich die Folien vorher einmal sehen wollte.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A Ich-Botschaft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Verstehe ich. Du willst sicher sein, dass alles passt, oder? Ich hatte diese Woche dreimal Training und hab’s unterschätzt.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B Empathie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Ja, genau. Ich hab schon die Gliederung gemacht und fühl mich gerade ein bisschen allein mit dem Ganzen.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A Ich-Botschaft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Okay, das ist fair. Tut mir leid.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B Empathie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Kannst du mir die Folien bis 19 Uhr schicken? Dann schaue ich drüber, und wir proben morgen früh vor der ersten Stunde einmal.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8"/>
                <w:szCs w:val="18"/>
              </w:rPr>
              <w:t xml:space="preserve">C Bitte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19 Uhr schaffe ich. Und beim nächsten Mal sagen wir uns früher Bescheid, wenn’s eng wird – einverstanden?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18"/>
                <w:szCs w:val="18"/>
              </w:rPr>
              <w:t xml:space="preserve">D Meta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Einverstanden.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2"/>
                <w:szCs w:val="22"/>
              </w:rPr>
              <w:t xml:space="preserve">Metakommunikation – wenn es schon eskaliert ist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Auch nach Zeile 7 ist noch etwas zu retten, z. B. Tom: „Stopp. Wir streiten gerade nur noch. Ich will auch, dass das Referat gut wird – lass uns fünf Minuten überlegen, wie wir das bis morgen schaffen.“</w:t>
            </w:r>
          </w:p>
        </w:tc>
      </w:tr>
    </w:tbl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✓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Erwartungshorizont Exit-Ticket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1 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z. B. „Ich fühle mich gerade übergangen, wenn ich dir etwas erzähle und du dabei aufs Handy schaust. Kannst du es kurz weglegen, bis ich fertig bin?“ – Kriterien: Ich-Form, Gefühl, konkreter Anlass statt „nie“, erfüllbare Bitte.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2 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z. B. Du-Botschaften und Vorwürfe · „immer“ / „nie“ · Gegenangriff statt Antwort · Ironie · es geht um die Person statt um die Sache · Körpersprache (Augenrollen, Wegdrehen, Handy) · lauter werden · Abbruch.</w:t>
      </w:r>
    </w:p>
    <w:sectPr>
      <w:footerReference w:type="default" r:id="rId7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Lehrermaterial &amp; Lösungen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2026-09-25T17:45:45.276Z</dcterms:created>
  <dcterms:modified xsi:type="dcterms:W3CDTF">2026-09-25T17:45:45.276Z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