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Calibri" w:cs="Calibri" w:eastAsia="Calibri" w:hAnsi="Calibri"/>
          <w:b/>
          <w:bCs/>
          <w:color w:val="5B6B8C"/>
          <w:sz w:val="18"/>
          <w:szCs w:val="18"/>
        </w:rPr>
        <w:t xml:space="preserve">FÜR DIE LEHRKRAFT</w:t>
      </w:r>
    </w:p>
    <w:p>
      <w:pPr>
        <w:spacing w:after="60" w:before="0"/>
      </w:pPr>
      <w:r>
        <w:rPr>
          <w:rFonts w:ascii="Cambria" w:cs="Cambria" w:eastAsia="Cambria" w:hAnsi="Cambria"/>
          <w:b/>
          <w:bCs/>
          <w:color w:val="1E2761"/>
          <w:sz w:val="40"/>
          <w:szCs w:val="40"/>
        </w:rPr>
        <w:t xml:space="preserve">Kommunikationsstörungen lösen</w:t>
      </w:r>
    </w:p>
    <w:p>
      <w:pPr>
        <w:spacing w:after="80" w:before="0"/>
      </w:pPr>
      <w:r>
        <w:rPr>
          <w:rFonts w:ascii="Calibri" w:cs="Calibri" w:eastAsia="Calibri" w:hAnsi="Calibri"/>
          <w:i/>
          <w:iCs/>
          <w:color w:val="5B6B8C"/>
          <w:sz w:val="20"/>
          <w:szCs w:val="20"/>
        </w:rPr>
        <w:t xml:space="preserve">Doppelstunde (90 Min.) · Klasse 11 · Vorwissen: Kommunikationsmodelle (Schulz von Thun, Watzlawick) und Kommunikationsstörungen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none" w:color="FFFFFF" w:sz="0"/>
              <w:left w:val="none" w:color="FFFFFF" w:sz="0"/>
              <w:bottom w:val="none" w:color="FFFFFF" w:sz="0"/>
              <w:right w:val="none" w:color="FFFFFF" w:sz="0"/>
            </w:tcBorders>
            <w:shd w:fill="EAF0FA" w:color="auto" w:val="clear"/>
            <w:tcMar>
              <w:top w:type="dxa" w:w="120"/>
              <w:left w:type="dxa" w:w="100"/>
              <w:bottom w:type="dxa" w:w="120"/>
              <w:right w:type="dxa" w:w="100"/>
            </w:tcMar>
            <w:vAlign w:val="center"/>
          </w:tcPr>
          <w:p>
            <w:pPr>
              <w:spacing w:after="40" w:before="0"/>
            </w:pPr>
            <w:r>
              <w:rPr>
                <w:rFonts w:ascii="Calibri" w:cs="Calibri" w:eastAsia="Calibri" w:hAnsi="Calibri"/>
                <w:b/>
                <w:bCs/>
                <w:color w:val="1E2761"/>
                <w:sz w:val="22"/>
                <w:szCs w:val="22"/>
              </w:rPr>
              <w:t xml:space="preserve">Lernziele  </w:t>
            </w:r>
            <w:r>
              <w:rPr>
                <w:rFonts w:ascii="Calibri" w:cs="Calibri" w:eastAsia="Calibri" w:hAnsi="Calibri"/>
                <w:color w:val="000000"/>
                <w:sz w:val="19"/>
                <w:szCs w:val="19"/>
              </w:rPr>
              <w:t xml:space="preserve">Die Schülerinnen und Schüler …</w:t>
            </w:r>
          </w:p>
          <w:p>
            <w:pPr>
              <w:spacing w:after="40" w:before="0"/>
            </w:pPr>
            <w:r>
              <w:rPr>
                <w:rFonts w:ascii="Calibri" w:cs="Calibri" w:eastAsia="Calibri" w:hAnsi="Calibri"/>
                <w:color w:val="000000"/>
                <w:sz w:val="19"/>
                <w:szCs w:val="19"/>
              </w:rPr>
              <w:t xml:space="preserve">•  benennen in einem Dialog den genauen Zeitpunkt, an dem die Kommunikation kippt, und begründen ihn mit Fachbegriffen,</w:t>
            </w:r>
          </w:p>
          <w:p>
            <w:pPr>
              <w:spacing w:after="40" w:before="0"/>
            </w:pPr>
            <w:r>
              <w:rPr>
                <w:rFonts w:ascii="Calibri" w:cs="Calibri" w:eastAsia="Calibri" w:hAnsi="Calibri"/>
                <w:color w:val="000000"/>
                <w:sz w:val="19"/>
                <w:szCs w:val="19"/>
              </w:rPr>
              <w:t xml:space="preserve">•  wenden vier Techniken (Ich-Botschaft, Empathie, Wunsch/Bitte, Metakommunikation) einzeln an, indem sie Kipppunkte umschreiben,</w:t>
            </w:r>
          </w:p>
          <w:p>
            <w:pPr>
              <w:spacing w:after="40" w:before="0"/>
            </w:pPr>
            <w:r>
              <w:rPr>
                <w:rFonts w:ascii="Calibri" w:cs="Calibri" w:eastAsia="Calibri" w:hAnsi="Calibri"/>
                <w:color w:val="000000"/>
                <w:sz w:val="19"/>
                <w:szCs w:val="19"/>
              </w:rPr>
              <w:t xml:space="preserve">•  erfinden eigene Konfliktszenen, spielen sie und werten die Szenen der anderen kriteriengeleitet aus.</w:t>
            </w:r>
          </w:p>
          <w:p>
            <w:pPr>
              <w:spacing w:after="40" w:before="0"/>
            </w:pPr>
            <w:r>
              <w:rPr>
                <w:rFonts w:ascii="Calibri" w:cs="Calibri" w:eastAsia="Calibri" w:hAnsi="Calibri"/>
                <w:b/>
                <w:bCs/>
                <w:color w:val="1E2761"/>
                <w:sz w:val="22"/>
                <w:szCs w:val="22"/>
              </w:rPr>
              <w:t xml:space="preserve">Organisation  </w:t>
            </w:r>
            <w:r>
              <w:rPr>
                <w:rFonts w:ascii="Calibri" w:cs="Calibri" w:eastAsia="Calibri" w:hAnsi="Calibri"/>
                <w:color w:val="000000"/>
                <w:sz w:val="19"/>
                <w:szCs w:val="19"/>
              </w:rPr>
              <w:t xml:space="preserve">21 Schülerinnen und Schüler · bis Minute 43 in den Reihen (einzeln / zu zweit) · danach drei Gruppen à 7: Wandreihe, Mittelreihe, Fensterreihe.</w:t>
            </w:r>
          </w:p>
        </w:tc>
      </w:tr>
    </w:tbl>
    <w:p>
      <w:pPr>
        <w:keepNext/>
        <w:spacing w:after="80" w:before="140"/>
      </w:pPr>
      <w:r>
        <w:rPr>
          <w:rFonts w:ascii="Cambria" w:cs="Cambria" w:eastAsia="Cambria" w:hAnsi="Cambria"/>
          <w:b/>
          <w:bCs/>
          <w:color w:val="1E2761"/>
          <w:sz w:val="26"/>
          <w:szCs w:val="26"/>
        </w:rPr>
        <w:t xml:space="preserve">1  </w:t>
      </w:r>
      <w:r>
        <w:rPr>
          <w:rFonts w:ascii="Cambria" w:cs="Cambria" w:eastAsia="Cambria" w:hAnsi="Cambria"/>
          <w:b/>
          <w:bCs/>
          <w:color w:val="1E2761"/>
          <w:sz w:val="26"/>
          <w:szCs w:val="26"/>
        </w:rPr>
        <w:t xml:space="preserve">Druckliste · am Vortag</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000"/>
        <w:gridCol w:w="5206"/>
      </w:tblGrid>
      <w:tr>
        <w:trPr>
          <w:cantSplit/>
          <w:trHeight w:val="340" w:hRule="atLeast"/>
        </w:trPr>
        <w:tc>
          <w:tcPr>
            <w:tcW w:type="dxa" w:w="50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  </w:t>
            </w:r>
            <w:r>
              <w:rPr>
                <w:rFonts w:ascii="Calibri" w:cs="Calibri" w:eastAsia="Calibri" w:hAnsi="Calibri"/>
                <w:b/>
                <w:bCs/>
                <w:color w:val="000000"/>
                <w:sz w:val="19"/>
                <w:szCs w:val="19"/>
              </w:rPr>
              <w:t xml:space="preserve">Arbeitsblatt (6 Seiten)</w:t>
            </w:r>
          </w:p>
        </w:tc>
        <w:tc>
          <w:tcPr>
            <w:tcW w:type="dxa" w:w="52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19"/>
                <w:szCs w:val="19"/>
              </w:rPr>
              <w:t xml:space="preserve">21× (1 pro Person)</w:t>
            </w:r>
          </w:p>
        </w:tc>
      </w:tr>
      <w:tr>
        <w:trPr>
          <w:cantSplit/>
          <w:trHeight w:val="340" w:hRule="atLeast"/>
        </w:trPr>
        <w:tc>
          <w:tcPr>
            <w:tcW w:type="dxa" w:w="50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  </w:t>
            </w:r>
            <w:r>
              <w:rPr>
                <w:rFonts w:ascii="Calibri" w:cs="Calibri" w:eastAsia="Calibri" w:hAnsi="Calibri"/>
                <w:b/>
                <w:bCs/>
                <w:color w:val="000000"/>
                <w:sz w:val="19"/>
                <w:szCs w:val="19"/>
              </w:rPr>
              <w:t xml:space="preserve">Kartenset S. 1: Rollen- und Tippkarten</w:t>
            </w:r>
          </w:p>
        </w:tc>
        <w:tc>
          <w:tcPr>
            <w:tcW w:type="dxa" w:w="52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19"/>
                <w:szCs w:val="19"/>
              </w:rPr>
              <w:t xml:space="preserve">Rollen: 3 Sätze · Tipps: 2–3 Sätze fürs Pult</w:t>
            </w:r>
          </w:p>
        </w:tc>
      </w:tr>
      <w:tr>
        <w:trPr>
          <w:cantSplit/>
          <w:trHeight w:val="340" w:hRule="atLeast"/>
        </w:trPr>
        <w:tc>
          <w:tcPr>
            <w:tcW w:type="dxa" w:w="50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  </w:t>
            </w:r>
            <w:r>
              <w:rPr>
                <w:rFonts w:ascii="Calibri" w:cs="Calibri" w:eastAsia="Calibri" w:hAnsi="Calibri"/>
                <w:b/>
                <w:bCs/>
                <w:color w:val="000000"/>
                <w:sz w:val="19"/>
                <w:szCs w:val="19"/>
              </w:rPr>
              <w:t xml:space="preserve">Kartenset S. 2: Notfall-Ideen</w:t>
            </w:r>
          </w:p>
        </w:tc>
        <w:tc>
          <w:tcPr>
            <w:tcW w:type="dxa" w:w="52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19"/>
                <w:szCs w:val="19"/>
              </w:rPr>
              <w:t xml:space="preserve">1 Satz, in einen Umschlag – bleibt bei Ihnen</w:t>
            </w:r>
          </w:p>
        </w:tc>
      </w:tr>
      <w:tr>
        <w:trPr>
          <w:cantSplit/>
          <w:trHeight w:val="340" w:hRule="atLeast"/>
        </w:trPr>
        <w:tc>
          <w:tcPr>
            <w:tcW w:type="dxa" w:w="50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  </w:t>
            </w:r>
            <w:r>
              <w:rPr>
                <w:rFonts w:ascii="Calibri" w:cs="Calibri" w:eastAsia="Calibri" w:hAnsi="Calibri"/>
                <w:b/>
                <w:bCs/>
                <w:color w:val="000000"/>
                <w:sz w:val="19"/>
                <w:szCs w:val="19"/>
              </w:rPr>
              <w:t xml:space="preserve">Kartenset S. 3: Moderationskarte</w:t>
            </w:r>
          </w:p>
        </w:tc>
        <w:tc>
          <w:tcPr>
            <w:tcW w:type="dxa" w:w="52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19"/>
                <w:szCs w:val="19"/>
              </w:rPr>
              <w:t xml:space="preserve">2× (Moderation + Sie)</w:t>
            </w:r>
          </w:p>
        </w:tc>
      </w:tr>
      <w:tr>
        <w:trPr>
          <w:cantSplit/>
          <w:trHeight w:val="340" w:hRule="atLeast"/>
        </w:trPr>
        <w:tc>
          <w:tcPr>
            <w:tcW w:type="dxa" w:w="50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  </w:t>
            </w:r>
            <w:r>
              <w:rPr>
                <w:rFonts w:ascii="Calibri" w:cs="Calibri" w:eastAsia="Calibri" w:hAnsi="Calibri"/>
                <w:b/>
                <w:bCs/>
                <w:color w:val="000000"/>
                <w:sz w:val="19"/>
                <w:szCs w:val="19"/>
              </w:rPr>
              <w:t xml:space="preserve">Kartenset S. 4: Exit-Tickets (Mini-Test)</w:t>
            </w:r>
          </w:p>
        </w:tc>
        <w:tc>
          <w:tcPr>
            <w:tcW w:type="dxa" w:w="52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19"/>
                <w:szCs w:val="19"/>
              </w:rPr>
              <w:t xml:space="preserve">11× (2 pro Seite), je 7 in die Gruppenumschläge</w:t>
            </w:r>
          </w:p>
        </w:tc>
      </w:tr>
      <w:tr>
        <w:trPr>
          <w:cantSplit/>
          <w:trHeight w:val="340" w:hRule="atLeast"/>
        </w:trPr>
        <w:tc>
          <w:tcPr>
            <w:tcW w:type="dxa" w:w="50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20"/>
                <w:szCs w:val="20"/>
              </w:rPr>
              <w:t xml:space="preserve">☐  </w:t>
            </w:r>
            <w:r>
              <w:rPr>
                <w:rFonts w:ascii="Calibri" w:cs="Calibri" w:eastAsia="Calibri" w:hAnsi="Calibri"/>
                <w:b/>
                <w:bCs/>
                <w:color w:val="000000"/>
                <w:sz w:val="19"/>
                <w:szCs w:val="19"/>
              </w:rPr>
              <w:t xml:space="preserve">Erwartungshorizonte (S. 3–4 dieses Dokuments)</w:t>
            </w:r>
          </w:p>
        </w:tc>
        <w:tc>
          <w:tcPr>
            <w:tcW w:type="dxa" w:w="52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19"/>
                <w:szCs w:val="19"/>
              </w:rPr>
              <w:t xml:space="preserve">1× für Sie (Unterrichtsgespräche + Mini-Test)</w:t>
            </w:r>
          </w:p>
        </w:tc>
      </w:tr>
    </w:tbl>
    <w:p>
      <w:pPr>
        <w:keepNext/>
        <w:spacing w:after="80" w:before="140"/>
      </w:pPr>
      <w:r>
        <w:rPr>
          <w:rFonts w:ascii="Cambria" w:cs="Cambria" w:eastAsia="Cambria" w:hAnsi="Cambria"/>
          <w:b/>
          <w:bCs/>
          <w:color w:val="1E2761"/>
          <w:sz w:val="26"/>
          <w:szCs w:val="26"/>
        </w:rPr>
        <w:t xml:space="preserve">2  </w:t>
      </w:r>
      <w:r>
        <w:rPr>
          <w:rFonts w:ascii="Cambria" w:cs="Cambria" w:eastAsia="Cambria" w:hAnsi="Cambria"/>
          <w:b/>
          <w:bCs/>
          <w:color w:val="1E2761"/>
          <w:sz w:val="26"/>
          <w:szCs w:val="26"/>
        </w:rPr>
        <w:t xml:space="preserve">Vorbereitung · vor der Stunde bzw. in der Pause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900"/>
        <w:gridCol w:w="7306"/>
      </w:tblGrid>
      <w:tr>
        <w:trPr>
          <w:cantSplit/>
          <w:trHeight w:val="340" w:hRule="atLeast"/>
        </w:trPr>
        <w:tc>
          <w:tcPr>
            <w:tcW w:type="dxa" w:w="29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top"/>
          </w:tcPr>
          <w:p>
            <w:pPr>
              <w:spacing w:after="0" w:before="0"/>
            </w:pPr>
            <w:r>
              <w:rPr>
                <w:rFonts w:ascii="Calibri" w:cs="Calibri" w:eastAsia="Calibri" w:hAnsi="Calibri"/>
                <w:color w:val="000000"/>
                <w:sz w:val="20"/>
                <w:szCs w:val="20"/>
              </w:rPr>
              <w:t xml:space="preserve">☐  </w:t>
            </w:r>
            <w:r>
              <w:rPr>
                <w:rFonts w:ascii="Calibri" w:cs="Calibri" w:eastAsia="Calibri" w:hAnsi="Calibri"/>
                <w:b/>
                <w:bCs/>
                <w:color w:val="1E2761"/>
                <w:sz w:val="19"/>
                <w:szCs w:val="19"/>
              </w:rPr>
              <w:t xml:space="preserve">Sitzordnung</w:t>
            </w:r>
          </w:p>
        </w:tc>
        <w:tc>
          <w:tcPr>
            <w:tcW w:type="dxa" w:w="73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19"/>
                <w:szCs w:val="19"/>
              </w:rPr>
              <w:t xml:space="preserve">Die Klasse sitzt zu Beginn normal in den drei Reihen. Impuls und Partnerarbeit laufen mit dem Sitznachbarn. Ab Minute 15 bilden Wandreihe, Mittelreihe und Fensterreihe je eine Gruppe (7 Personen). Vorher überlegen, wie jede Reihe zusammenrückt; sitzen nicht genau 7 in einer Reihe, 1–2 Personen umsetzen.</w:t>
            </w:r>
          </w:p>
        </w:tc>
      </w:tr>
      <w:tr>
        <w:trPr>
          <w:cantSplit/>
          <w:trHeight w:val="340" w:hRule="atLeast"/>
        </w:trPr>
        <w:tc>
          <w:tcPr>
            <w:tcW w:type="dxa" w:w="29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top"/>
          </w:tcPr>
          <w:p>
            <w:pPr>
              <w:spacing w:after="0" w:before="0"/>
            </w:pPr>
            <w:r>
              <w:rPr>
                <w:rFonts w:ascii="Calibri" w:cs="Calibri" w:eastAsia="Calibri" w:hAnsi="Calibri"/>
                <w:color w:val="000000"/>
                <w:sz w:val="20"/>
                <w:szCs w:val="20"/>
              </w:rPr>
              <w:t xml:space="preserve">☐  </w:t>
            </w:r>
            <w:r>
              <w:rPr>
                <w:rFonts w:ascii="Calibri" w:cs="Calibri" w:eastAsia="Calibri" w:hAnsi="Calibri"/>
                <w:b/>
                <w:bCs/>
                <w:color w:val="1E2761"/>
                <w:sz w:val="19"/>
                <w:szCs w:val="19"/>
              </w:rPr>
              <w:t xml:space="preserve">3 Umschläge</w:t>
            </w:r>
          </w:p>
        </w:tc>
        <w:tc>
          <w:tcPr>
            <w:tcW w:type="dxa" w:w="73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19"/>
                <w:szCs w:val="19"/>
              </w:rPr>
              <w:t xml:space="preserve">beschriftet „Wandreihe“, „Mittelreihe“, „Fensterreihe“. Inhalt: 4 Rollenkarten, 7 Exit-Tickets. Jeweils geschlossen auf den ersten Tisch der Reihe legen – geöffnet wird erst in Minute 43.</w:t>
            </w:r>
          </w:p>
        </w:tc>
      </w:tr>
      <w:tr>
        <w:trPr>
          <w:cantSplit/>
          <w:trHeight w:val="340" w:hRule="atLeast"/>
        </w:trPr>
        <w:tc>
          <w:tcPr>
            <w:tcW w:type="dxa" w:w="29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top"/>
          </w:tcPr>
          <w:p>
            <w:pPr>
              <w:spacing w:after="0" w:before="0"/>
            </w:pPr>
            <w:r>
              <w:rPr>
                <w:rFonts w:ascii="Calibri" w:cs="Calibri" w:eastAsia="Calibri" w:hAnsi="Calibri"/>
                <w:color w:val="000000"/>
                <w:sz w:val="20"/>
                <w:szCs w:val="20"/>
              </w:rPr>
              <w:t xml:space="preserve">☐  </w:t>
            </w:r>
            <w:r>
              <w:rPr>
                <w:rFonts w:ascii="Calibri" w:cs="Calibri" w:eastAsia="Calibri" w:hAnsi="Calibri"/>
                <w:b/>
                <w:bCs/>
                <w:color w:val="1E2761"/>
                <w:sz w:val="19"/>
                <w:szCs w:val="19"/>
              </w:rPr>
              <w:t xml:space="preserve">Auf jeden Platz</w:t>
            </w:r>
          </w:p>
        </w:tc>
        <w:tc>
          <w:tcPr>
            <w:tcW w:type="dxa" w:w="73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19"/>
                <w:szCs w:val="19"/>
              </w:rPr>
              <w:t xml:space="preserve">das Arbeitsblatt, Seite 1 (M1) oben.</w:t>
            </w:r>
          </w:p>
        </w:tc>
      </w:tr>
      <w:tr>
        <w:trPr>
          <w:cantSplit/>
          <w:trHeight w:val="340" w:hRule="atLeast"/>
        </w:trPr>
        <w:tc>
          <w:tcPr>
            <w:tcW w:type="dxa" w:w="29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top"/>
          </w:tcPr>
          <w:p>
            <w:pPr>
              <w:spacing w:after="0" w:before="0"/>
            </w:pPr>
            <w:r>
              <w:rPr>
                <w:rFonts w:ascii="Calibri" w:cs="Calibri" w:eastAsia="Calibri" w:hAnsi="Calibri"/>
                <w:color w:val="000000"/>
                <w:sz w:val="20"/>
                <w:szCs w:val="20"/>
              </w:rPr>
              <w:t xml:space="preserve">☐  </w:t>
            </w:r>
            <w:r>
              <w:rPr>
                <w:rFonts w:ascii="Calibri" w:cs="Calibri" w:eastAsia="Calibri" w:hAnsi="Calibri"/>
                <w:b/>
                <w:bCs/>
                <w:color w:val="1E2761"/>
                <w:sz w:val="19"/>
                <w:szCs w:val="19"/>
              </w:rPr>
              <w:t xml:space="preserve">Aufs Pult</w:t>
            </w:r>
          </w:p>
        </w:tc>
        <w:tc>
          <w:tcPr>
            <w:tcW w:type="dxa" w:w="73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19"/>
                <w:szCs w:val="19"/>
              </w:rPr>
              <w:t xml:space="preserve">Tippkarten (Tipp 1 und 2 zu Aufgabe 2 und 4) in beschrifteten Stapeln.</w:t>
            </w:r>
          </w:p>
        </w:tc>
      </w:tr>
      <w:tr>
        <w:trPr>
          <w:cantSplit/>
          <w:trHeight w:val="340" w:hRule="atLeast"/>
        </w:trPr>
        <w:tc>
          <w:tcPr>
            <w:tcW w:type="dxa" w:w="29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top"/>
          </w:tcPr>
          <w:p>
            <w:pPr>
              <w:spacing w:after="0" w:before="0"/>
            </w:pPr>
            <w:r>
              <w:rPr>
                <w:rFonts w:ascii="Calibri" w:cs="Calibri" w:eastAsia="Calibri" w:hAnsi="Calibri"/>
                <w:color w:val="000000"/>
                <w:sz w:val="20"/>
                <w:szCs w:val="20"/>
              </w:rPr>
              <w:t xml:space="preserve">☐  </w:t>
            </w:r>
            <w:r>
              <w:rPr>
                <w:rFonts w:ascii="Calibri" w:cs="Calibri" w:eastAsia="Calibri" w:hAnsi="Calibri"/>
                <w:b/>
                <w:bCs/>
                <w:color w:val="1E2761"/>
                <w:sz w:val="19"/>
                <w:szCs w:val="19"/>
              </w:rPr>
              <w:t xml:space="preserve">Bei Ihnen</w:t>
            </w:r>
          </w:p>
        </w:tc>
        <w:tc>
          <w:tcPr>
            <w:tcW w:type="dxa" w:w="73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19"/>
                <w:szCs w:val="19"/>
              </w:rPr>
              <w:t xml:space="preserve">Umschlag „Notfall-Ideen“, 2 Moderationskarten, Zettel für Ihre Notizen (gelungene Formulierungen).</w:t>
            </w:r>
          </w:p>
        </w:tc>
      </w:tr>
      <w:tr>
        <w:trPr>
          <w:cantSplit/>
          <w:trHeight w:val="340" w:hRule="atLeast"/>
        </w:trPr>
        <w:tc>
          <w:tcPr>
            <w:tcW w:type="dxa" w:w="29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top"/>
          </w:tcPr>
          <w:p>
            <w:pPr>
              <w:spacing w:after="0" w:before="0"/>
            </w:pPr>
            <w:r>
              <w:rPr>
                <w:rFonts w:ascii="Calibri" w:cs="Calibri" w:eastAsia="Calibri" w:hAnsi="Calibri"/>
                <w:color w:val="000000"/>
                <w:sz w:val="20"/>
                <w:szCs w:val="20"/>
              </w:rPr>
              <w:t xml:space="preserve">☐  </w:t>
            </w:r>
            <w:r>
              <w:rPr>
                <w:rFonts w:ascii="Calibri" w:cs="Calibri" w:eastAsia="Calibri" w:hAnsi="Calibri"/>
                <w:b/>
                <w:bCs/>
                <w:color w:val="1E2761"/>
                <w:sz w:val="19"/>
                <w:szCs w:val="19"/>
              </w:rPr>
              <w:t xml:space="preserve">Technik</w:t>
            </w:r>
          </w:p>
        </w:tc>
        <w:tc>
          <w:tcPr>
            <w:tcW w:type="dxa" w:w="73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19"/>
                <w:szCs w:val="19"/>
              </w:rPr>
              <w:t xml:space="preserve">Präsentation auf Folie 1, Timer griffbereit (Handy unter der Dokumentenkamera oder Online-Timer).</w:t>
            </w:r>
          </w:p>
        </w:tc>
      </w:tr>
      <w:tr>
        <w:trPr>
          <w:cantSplit/>
          <w:trHeight w:val="340" w:hRule="atLeast"/>
        </w:trPr>
        <w:tc>
          <w:tcPr>
            <w:tcW w:type="dxa" w:w="29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top"/>
          </w:tcPr>
          <w:p>
            <w:pPr>
              <w:spacing w:after="0" w:before="0"/>
            </w:pPr>
            <w:r>
              <w:rPr>
                <w:rFonts w:ascii="Calibri" w:cs="Calibri" w:eastAsia="Calibri" w:hAnsi="Calibri"/>
                <w:color w:val="000000"/>
                <w:sz w:val="20"/>
                <w:szCs w:val="20"/>
              </w:rPr>
              <w:t xml:space="preserve">☐  </w:t>
            </w:r>
            <w:r>
              <w:rPr>
                <w:rFonts w:ascii="Calibri" w:cs="Calibri" w:eastAsia="Calibri" w:hAnsi="Calibri"/>
                <w:b/>
                <w:bCs/>
                <w:color w:val="1E2761"/>
                <w:sz w:val="19"/>
                <w:szCs w:val="19"/>
              </w:rPr>
              <w:t xml:space="preserve">Tafel</w:t>
            </w:r>
          </w:p>
        </w:tc>
        <w:tc>
          <w:tcPr>
            <w:tcW w:type="dxa" w:w="73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19"/>
                <w:szCs w:val="19"/>
              </w:rPr>
              <w:t xml:space="preserve">Rechts anschreiben: Reihenfolge Wand → Mitte → Fenster · Paten: Wand beobachtet Mitte, Mitte → Fenster, Fenster → Wand.</w:t>
            </w:r>
          </w:p>
        </w:tc>
      </w:tr>
    </w:tbl>
    <w:p>
      <w:pPr>
        <w:keepNext/>
        <w:spacing w:after="80" w:before="140"/>
      </w:pPr>
      <w:r>
        <w:rPr>
          <w:rFonts w:ascii="Cambria" w:cs="Cambria" w:eastAsia="Cambria" w:hAnsi="Cambria"/>
          <w:b/>
          <w:bCs/>
          <w:color w:val="1E2761"/>
          <w:sz w:val="26"/>
          <w:szCs w:val="26"/>
        </w:rPr>
        <w:t xml:space="preserve">3  </w:t>
      </w:r>
      <w:r>
        <w:rPr>
          <w:rFonts w:ascii="Cambria" w:cs="Cambria" w:eastAsia="Cambria" w:hAnsi="Cambria"/>
          <w:b/>
          <w:bCs/>
          <w:color w:val="1E2761"/>
          <w:sz w:val="26"/>
          <w:szCs w:val="26"/>
        </w:rPr>
        <w:t xml:space="preserve">Grundregeln für Ihre Sprechzeit</w:t>
      </w:r>
    </w:p>
    <w:p>
      <w:pPr>
        <w:spacing w:after="20" w:before="0"/>
      </w:pPr>
      <w:r>
        <w:rPr>
          <w:rFonts w:ascii="Calibri" w:cs="Calibri" w:eastAsia="Calibri" w:hAnsi="Calibri"/>
          <w:b/>
          <w:bCs/>
          <w:color w:val="5B6B8C"/>
          <w:sz w:val="22"/>
          <w:szCs w:val="22"/>
        </w:rPr>
        <w:t xml:space="preserve">•  </w:t>
      </w:r>
      <w:r>
        <w:rPr>
          <w:rFonts w:ascii="Calibri" w:cs="Calibri" w:eastAsia="Calibri" w:hAnsi="Calibri"/>
          <w:b/>
          <w:bCs/>
          <w:color w:val="000000"/>
          <w:sz w:val="19"/>
          <w:szCs w:val="19"/>
        </w:rPr>
        <w:t xml:space="preserve">Sie teilen während der Stunde nichts aus.</w:t>
      </w:r>
      <w:r>
        <w:rPr>
          <w:rFonts w:ascii="Calibri" w:cs="Calibri" w:eastAsia="Calibri" w:hAnsi="Calibri"/>
          <w:color w:val="000000"/>
          <w:sz w:val="19"/>
          <w:szCs w:val="19"/>
        </w:rPr>
        <w:t xml:space="preserve"> Alles liegt vorher bereit. Ausnahmen: Notfall-Idee und Moderationskarte.</w:t>
      </w:r>
    </w:p>
    <w:p>
      <w:pPr>
        <w:spacing w:after="20" w:before="0"/>
      </w:pPr>
      <w:r>
        <w:rPr>
          <w:rFonts w:ascii="Calibri" w:cs="Calibri" w:eastAsia="Calibri" w:hAnsi="Calibri"/>
          <w:b/>
          <w:bCs/>
          <w:color w:val="5B6B8C"/>
          <w:sz w:val="22"/>
          <w:szCs w:val="22"/>
        </w:rPr>
        <w:t xml:space="preserve">•  </w:t>
      </w:r>
      <w:r>
        <w:rPr>
          <w:rFonts w:ascii="Calibri" w:cs="Calibri" w:eastAsia="Calibri" w:hAnsi="Calibri"/>
          <w:b/>
          <w:bCs/>
          <w:color w:val="000000"/>
          <w:sz w:val="19"/>
          <w:szCs w:val="19"/>
        </w:rPr>
        <w:t xml:space="preserve">Folie wechseln, Timer starten, nicht erklären.</w:t>
      </w:r>
      <w:r>
        <w:rPr>
          <w:rFonts w:ascii="Calibri" w:cs="Calibri" w:eastAsia="Calibri" w:hAnsi="Calibri"/>
          <w:color w:val="000000"/>
          <w:sz w:val="19"/>
          <w:szCs w:val="19"/>
        </w:rPr>
        <w:t xml:space="preserve"> Die Aufträge stehen auf Folie und Arbeitsblatt.</w:t>
      </w:r>
    </w:p>
    <w:p>
      <w:pPr>
        <w:spacing w:after="20" w:before="0"/>
      </w:pPr>
      <w:r>
        <w:rPr>
          <w:rFonts w:ascii="Calibri" w:cs="Calibri" w:eastAsia="Calibri" w:hAnsi="Calibri"/>
          <w:b/>
          <w:bCs/>
          <w:color w:val="5B6B8C"/>
          <w:sz w:val="22"/>
          <w:szCs w:val="22"/>
        </w:rPr>
        <w:t xml:space="preserve">•  </w:t>
      </w:r>
      <w:r>
        <w:rPr>
          <w:rFonts w:ascii="Calibri" w:cs="Calibri" w:eastAsia="Calibri" w:hAnsi="Calibri"/>
          <w:b/>
          <w:bCs/>
          <w:color w:val="000000"/>
          <w:sz w:val="19"/>
          <w:szCs w:val="19"/>
        </w:rPr>
        <w:t xml:space="preserve">Zwei gelenkte Phasen:</w:t>
      </w:r>
      <w:r>
        <w:rPr>
          <w:rFonts w:ascii="Calibri" w:cs="Calibri" w:eastAsia="Calibri" w:hAnsi="Calibri"/>
          <w:color w:val="000000"/>
          <w:sz w:val="19"/>
          <w:szCs w:val="19"/>
        </w:rPr>
        <w:t xml:space="preserve"> Unterrichtsgespräch zu den Kipppunkten (5 Min.) und „Technik für Technik“ (25 Min.). Pro Technik stellen Sie nur eine Frage und blenden die Formel ein. Tipp: Wer geantwortet hat, nimmt die nächste Person dran.</w:t>
      </w:r>
    </w:p>
    <w:p>
      <w:pPr>
        <w:spacing w:after="20" w:before="0"/>
      </w:pPr>
      <w:r>
        <w:rPr>
          <w:rFonts w:ascii="Calibri" w:cs="Calibri" w:eastAsia="Calibri" w:hAnsi="Calibri"/>
          <w:b/>
          <w:bCs/>
          <w:color w:val="5B6B8C"/>
          <w:sz w:val="22"/>
          <w:szCs w:val="22"/>
        </w:rPr>
        <w:t xml:space="preserve">•  </w:t>
      </w:r>
      <w:r>
        <w:rPr>
          <w:rFonts w:ascii="Calibri" w:cs="Calibri" w:eastAsia="Calibri" w:hAnsi="Calibri"/>
          <w:b/>
          <w:bCs/>
          <w:color w:val="000000"/>
          <w:sz w:val="19"/>
          <w:szCs w:val="19"/>
        </w:rPr>
        <w:t xml:space="preserve">Fragen kommen nur von der Material-Person</w:t>
      </w:r>
      <w:r>
        <w:rPr>
          <w:rFonts w:ascii="Calibri" w:cs="Calibri" w:eastAsia="Calibri" w:hAnsi="Calibri"/>
          <w:color w:val="000000"/>
          <w:sz w:val="19"/>
          <w:szCs w:val="19"/>
        </w:rPr>
        <w:t xml:space="preserve"> – und erst, nachdem Gruppe und Tippkarte nicht geholfen haben.</w:t>
      </w:r>
    </w:p>
    <w:p>
      <w:pPr>
        <w:spacing w:after="20" w:before="0"/>
      </w:pPr>
      <w:r>
        <w:rPr>
          <w:rFonts w:ascii="Calibri" w:cs="Calibri" w:eastAsia="Calibri" w:hAnsi="Calibri"/>
          <w:b/>
          <w:bCs/>
          <w:color w:val="5B6B8C"/>
          <w:sz w:val="22"/>
          <w:szCs w:val="22"/>
        </w:rPr>
        <w:t xml:space="preserve">•  </w:t>
      </w:r>
      <w:r>
        <w:rPr>
          <w:rFonts w:ascii="Calibri" w:cs="Calibri" w:eastAsia="Calibri" w:hAnsi="Calibri"/>
          <w:b/>
          <w:bCs/>
          <w:color w:val="000000"/>
          <w:sz w:val="19"/>
          <w:szCs w:val="19"/>
        </w:rPr>
        <w:t xml:space="preserve">Beim Spielen sitzen Sie im Publikum.</w:t>
      </w:r>
      <w:r>
        <w:rPr>
          <w:rFonts w:ascii="Calibri" w:cs="Calibri" w:eastAsia="Calibri" w:hAnsi="Calibri"/>
          <w:color w:val="000000"/>
          <w:sz w:val="19"/>
          <w:szCs w:val="19"/>
        </w:rPr>
        <w:t xml:space="preserve"> Eine Schülerin oder ein Schüler moderiert. Sie notieren gelungene Formulierungen.</w:t>
      </w:r>
    </w:p>
    <w:p>
      <w:pPr>
        <w:pageBreakBefore/>
        <w:spacing w:after="20" w:before="0"/>
      </w:pPr>
      <w:r>
        <w:rPr>
          <w:rFonts w:ascii="Calibri" w:cs="Calibri" w:eastAsia="Calibri" w:hAnsi="Calibri"/>
          <w:b/>
          <w:bCs/>
          <w:color w:val="5B6B8C"/>
          <w:sz w:val="18"/>
          <w:szCs w:val="18"/>
        </w:rPr>
        <w:t xml:space="preserve">FÜR DIE LEHRKRAFT · REGIEPLAN</w:t>
      </w:r>
    </w:p>
    <w:p>
      <w:pPr>
        <w:spacing w:after="60" w:before="0"/>
      </w:pPr>
      <w:r>
        <w:rPr>
          <w:rFonts w:ascii="Cambria" w:cs="Cambria" w:eastAsia="Cambria" w:hAnsi="Cambria"/>
          <w:b/>
          <w:bCs/>
          <w:color w:val="1E2761"/>
          <w:sz w:val="40"/>
          <w:szCs w:val="40"/>
        </w:rPr>
        <w:t xml:space="preserve">Wann passiert was?</w:t>
      </w:r>
    </w:p>
    <w:p>
      <w:pPr>
        <w:spacing w:after="100" w:before="0"/>
      </w:pPr>
      <w:r>
        <w:rPr>
          <w:rFonts w:ascii="Calibri" w:cs="Calibri" w:eastAsia="Calibri" w:hAnsi="Calibri"/>
          <w:i/>
          <w:iCs/>
          <w:color w:val="5B6B8C"/>
          <w:sz w:val="20"/>
          <w:szCs w:val="20"/>
        </w:rPr>
        <w:t xml:space="preserve">Minutengenauer Ablauf. Die Folien-Nummern beziehen sich auf die Präsentation.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50"/>
        <w:gridCol w:w="1900"/>
        <w:gridCol w:w="3150"/>
        <w:gridCol w:w="4106"/>
      </w:tblGrid>
      <w:tr>
        <w:trPr>
          <w:cantSplit/>
          <w:trHeight w:val="440" w:hRule="atLeast"/>
        </w:trPr>
        <w:tc>
          <w:tcPr>
            <w:tcW w:type="dxa" w:w="105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Zeit</w:t>
            </w:r>
          </w:p>
        </w:tc>
        <w:tc>
          <w:tcPr>
            <w:tcW w:type="dxa" w:w="19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Phase · Folie</w:t>
            </w:r>
          </w:p>
        </w:tc>
        <w:tc>
          <w:tcPr>
            <w:tcW w:type="dxa" w:w="315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Was die Klasse tut</w:t>
            </w:r>
          </w:p>
        </w:tc>
        <w:tc>
          <w:tcPr>
            <w:tcW w:type="dxa" w:w="4106"/>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Was Sie tun</w:t>
            </w:r>
          </w:p>
        </w:tc>
      </w:tr>
      <w:tr>
        <w:trPr>
          <w:cantSplit/>
          <w:trHeight w:val="500" w:hRule="atLeast"/>
        </w:trPr>
        <w:tc>
          <w:tcPr>
            <w:tcW w:type="dxa" w:w="105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top"/>
          </w:tcPr>
          <w:p>
            <w:pPr>
              <w:spacing w:after="0" w:before="0"/>
            </w:pPr>
            <w:r>
              <w:rPr>
                <w:rFonts w:ascii="Calibri" w:cs="Calibri" w:eastAsia="Calibri" w:hAnsi="Calibri"/>
                <w:b/>
                <w:bCs/>
                <w:color w:val="1E2761"/>
                <w:sz w:val="19"/>
                <w:szCs w:val="19"/>
              </w:rPr>
              <w:t xml:space="preserve">0'</w:t>
            </w:r>
          </w:p>
        </w:tc>
        <w:tc>
          <w:tcPr>
            <w:tcW w:type="dxa" w:w="19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top"/>
          </w:tcPr>
          <w:p>
            <w:pPr>
              <w:spacing w:after="10" w:before="0"/>
            </w:pPr>
            <w:r>
              <w:rPr>
                <w:rFonts w:ascii="Calibri" w:cs="Calibri" w:eastAsia="Calibri" w:hAnsi="Calibri"/>
                <w:b/>
                <w:bCs/>
                <w:color w:val="000000"/>
                <w:sz w:val="19"/>
                <w:szCs w:val="19"/>
              </w:rPr>
              <w:t xml:space="preserve">Ankommen</w:t>
            </w:r>
          </w:p>
          <w:p>
            <w:pPr>
              <w:spacing w:after="0" w:before="0"/>
            </w:pPr>
            <w:r>
              <w:rPr>
                <w:rFonts w:ascii="Calibri" w:cs="Calibri" w:eastAsia="Calibri" w:hAnsi="Calibri"/>
                <w:color w:val="5B6B8C"/>
                <w:sz w:val="16"/>
                <w:szCs w:val="16"/>
              </w:rPr>
              <w:t xml:space="preserve">Folie 1 → 2</w:t>
            </w:r>
          </w:p>
        </w:tc>
        <w:tc>
          <w:tcPr>
            <w:tcW w:type="dxa" w:w="3150"/>
            <w:tcBorders>
              <w:top w:val="single" w:color="B9C6E8" w:sz="6"/>
              <w:left w:val="single" w:color="B9C6E8" w:sz="6"/>
              <w:bottom w:val="single" w:color="B9C6E8" w:sz="6"/>
              <w:right w:val="single" w:color="B9C6E8" w:sz="6"/>
            </w:tcBorders>
            <w:tcMar>
              <w:top w:type="dxa" w:w="60"/>
              <w:left w:type="dxa" w:w="100"/>
              <w:bottom w:type="dxa" w:w="60"/>
              <w:right w:type="dxa" w:w="100"/>
            </w:tcMar>
            <w:vAlign w:val="top"/>
          </w:tcPr>
          <w:p>
            <w:pPr>
              <w:spacing w:after="0" w:before="0"/>
            </w:pPr>
            <w:r>
              <w:rPr>
                <w:rFonts w:ascii="Calibri" w:cs="Calibri" w:eastAsia="Calibri" w:hAnsi="Calibri"/>
                <w:color w:val="000000"/>
                <w:sz w:val="18"/>
                <w:szCs w:val="18"/>
              </w:rPr>
              <w:t xml:space="preserve">setzt sich wie gewohnt in die Reihen, findet das Arbeitsblatt auf dem Platz</w:t>
            </w:r>
          </w:p>
        </w:tc>
        <w:tc>
          <w:tcPr>
            <w:tcW w:type="dxa" w:w="4106"/>
            <w:tcBorders>
              <w:top w:val="single" w:color="B9C6E8" w:sz="6"/>
              <w:left w:val="single" w:color="B9C6E8" w:sz="6"/>
              <w:bottom w:val="single" w:color="B9C6E8" w:sz="6"/>
              <w:right w:val="single" w:color="B9C6E8" w:sz="6"/>
            </w:tcBorders>
            <w:shd w:fill="EAF0FA" w:color="auto" w:val="clear"/>
            <w:tcMar>
              <w:top w:type="dxa" w:w="60"/>
              <w:left w:type="dxa" w:w="100"/>
              <w:bottom w:type="dxa" w:w="60"/>
              <w:right w:type="dxa" w:w="100"/>
            </w:tcMar>
            <w:vAlign w:val="top"/>
          </w:tcPr>
          <w:p>
            <w:pPr>
              <w:spacing w:after="0" w:before="0"/>
            </w:pPr>
            <w:r>
              <w:rPr>
                <w:rFonts w:ascii="Calibri" w:cs="Calibri" w:eastAsia="Calibri" w:hAnsi="Calibri"/>
                <w:color w:val="000000"/>
                <w:sz w:val="18"/>
                <w:szCs w:val="18"/>
              </w:rPr>
              <w:t xml:space="preserve">Einziger Satz der Einführung: „Heute steht alles auf den Folien – schaut einfach dorthin.“ Folie 2 zeigen, Timer 5 Min. starten.</w:t>
            </w:r>
          </w:p>
        </w:tc>
      </w:tr>
      <w:tr>
        <w:trPr>
          <w:cantSplit/>
          <w:trHeight w:val="500" w:hRule="atLeast"/>
        </w:trPr>
        <w:tc>
          <w:tcPr>
            <w:tcW w:type="dxa" w:w="105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top"/>
          </w:tcPr>
          <w:p>
            <w:pPr>
              <w:spacing w:after="0" w:before="0"/>
            </w:pPr>
            <w:r>
              <w:rPr>
                <w:rFonts w:ascii="Calibri" w:cs="Calibri" w:eastAsia="Calibri" w:hAnsi="Calibri"/>
                <w:b/>
                <w:bCs/>
                <w:color w:val="1E2761"/>
                <w:sz w:val="19"/>
                <w:szCs w:val="19"/>
              </w:rPr>
              <w:t xml:space="preserve">0–5'</w:t>
            </w:r>
          </w:p>
        </w:tc>
        <w:tc>
          <w:tcPr>
            <w:tcW w:type="dxa" w:w="19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top"/>
          </w:tcPr>
          <w:p>
            <w:pPr>
              <w:spacing w:after="10" w:before="0"/>
            </w:pPr>
            <w:r>
              <w:rPr>
                <w:rFonts w:ascii="Calibri" w:cs="Calibri" w:eastAsia="Calibri" w:hAnsi="Calibri"/>
                <w:b/>
                <w:bCs/>
                <w:color w:val="000000"/>
                <w:sz w:val="19"/>
                <w:szCs w:val="19"/>
              </w:rPr>
              <w:t xml:space="preserve">Impuls EA → PA</w:t>
            </w:r>
          </w:p>
          <w:p>
            <w:pPr>
              <w:spacing w:after="0" w:before="0"/>
            </w:pPr>
            <w:r>
              <w:rPr>
                <w:rFonts w:ascii="Calibri" w:cs="Calibri" w:eastAsia="Calibri" w:hAnsi="Calibri"/>
                <w:color w:val="5B6B8C"/>
                <w:sz w:val="16"/>
                <w:szCs w:val="16"/>
              </w:rPr>
              <w:t xml:space="preserve">Folie 2</w:t>
            </w:r>
          </w:p>
        </w:tc>
        <w:tc>
          <w:tcPr>
            <w:tcW w:type="dxa" w:w="3150"/>
            <w:tcBorders>
              <w:top w:val="single" w:color="B9C6E8" w:sz="6"/>
              <w:left w:val="single" w:color="B9C6E8" w:sz="6"/>
              <w:bottom w:val="single" w:color="B9C6E8" w:sz="6"/>
              <w:right w:val="single" w:color="B9C6E8" w:sz="6"/>
            </w:tcBorders>
            <w:tcMar>
              <w:top w:type="dxa" w:w="60"/>
              <w:left w:type="dxa" w:w="100"/>
              <w:bottom w:type="dxa" w:w="60"/>
              <w:right w:type="dxa" w:w="100"/>
            </w:tcMar>
            <w:vAlign w:val="top"/>
          </w:tcPr>
          <w:p>
            <w:pPr>
              <w:spacing w:after="0" w:before="0"/>
            </w:pPr>
            <w:r>
              <w:rPr>
                <w:rFonts w:ascii="Calibri" w:cs="Calibri" w:eastAsia="Calibri" w:hAnsi="Calibri"/>
                <w:color w:val="000000"/>
                <w:sz w:val="18"/>
                <w:szCs w:val="18"/>
              </w:rPr>
              <w:t xml:space="preserve">liest M1 still und markiert Kipppunkte mit ↯ (3'), vergleicht dann mit dem Sitznachbarn (2')</w:t>
            </w:r>
          </w:p>
        </w:tc>
        <w:tc>
          <w:tcPr>
            <w:tcW w:type="dxa" w:w="4106"/>
            <w:tcBorders>
              <w:top w:val="single" w:color="B9C6E8" w:sz="6"/>
              <w:left w:val="single" w:color="B9C6E8" w:sz="6"/>
              <w:bottom w:val="single" w:color="B9C6E8" w:sz="6"/>
              <w:right w:val="single" w:color="B9C6E8" w:sz="6"/>
            </w:tcBorders>
            <w:shd w:fill="EAF0FA" w:color="auto" w:val="clear"/>
            <w:tcMar>
              <w:top w:type="dxa" w:w="60"/>
              <w:left w:type="dxa" w:w="100"/>
              <w:bottom w:type="dxa" w:w="60"/>
              <w:right w:type="dxa" w:w="100"/>
            </w:tcMar>
            <w:vAlign w:val="top"/>
          </w:tcPr>
          <w:p>
            <w:pPr>
              <w:spacing w:after="0" w:before="0"/>
            </w:pPr>
            <w:r>
              <w:rPr>
                <w:rFonts w:ascii="Calibri" w:cs="Calibri" w:eastAsia="Calibri" w:hAnsi="Calibri"/>
                <w:color w:val="000000"/>
                <w:sz w:val="18"/>
                <w:szCs w:val="18"/>
              </w:rPr>
              <w:t xml:space="preserve">Nichts sagen. Nach 3 Min. Handzeichen/Gong für den Partnervergleich.</w:t>
            </w:r>
          </w:p>
        </w:tc>
      </w:tr>
      <w:tr>
        <w:trPr>
          <w:cantSplit/>
          <w:trHeight w:val="500" w:hRule="atLeast"/>
        </w:trPr>
        <w:tc>
          <w:tcPr>
            <w:tcW w:type="dxa" w:w="105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top"/>
          </w:tcPr>
          <w:p>
            <w:pPr>
              <w:spacing w:after="0" w:before="0"/>
            </w:pPr>
            <w:r>
              <w:rPr>
                <w:rFonts w:ascii="Calibri" w:cs="Calibri" w:eastAsia="Calibri" w:hAnsi="Calibri"/>
                <w:b/>
                <w:bCs/>
                <w:color w:val="1E2761"/>
                <w:sz w:val="19"/>
                <w:szCs w:val="19"/>
              </w:rPr>
              <w:t xml:space="preserve">5–13'</w:t>
            </w:r>
          </w:p>
        </w:tc>
        <w:tc>
          <w:tcPr>
            <w:tcW w:type="dxa" w:w="19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top"/>
          </w:tcPr>
          <w:p>
            <w:pPr>
              <w:spacing w:after="10" w:before="0"/>
            </w:pPr>
            <w:r>
              <w:rPr>
                <w:rFonts w:ascii="Calibri" w:cs="Calibri" w:eastAsia="Calibri" w:hAnsi="Calibri"/>
                <w:b/>
                <w:bCs/>
                <w:color w:val="000000"/>
                <w:sz w:val="19"/>
                <w:szCs w:val="19"/>
              </w:rPr>
              <w:t xml:space="preserve">Kipppunkte benennen</w:t>
            </w:r>
          </w:p>
          <w:p>
            <w:pPr>
              <w:spacing w:after="0" w:before="0"/>
            </w:pPr>
            <w:r>
              <w:rPr>
                <w:rFonts w:ascii="Calibri" w:cs="Calibri" w:eastAsia="Calibri" w:hAnsi="Calibri"/>
                <w:color w:val="5B6B8C"/>
                <w:sz w:val="16"/>
                <w:szCs w:val="16"/>
              </w:rPr>
              <w:t xml:space="preserve">Folie 3</w:t>
            </w:r>
          </w:p>
        </w:tc>
        <w:tc>
          <w:tcPr>
            <w:tcW w:type="dxa" w:w="3150"/>
            <w:tcBorders>
              <w:top w:val="single" w:color="B9C6E8" w:sz="6"/>
              <w:left w:val="single" w:color="B9C6E8" w:sz="6"/>
              <w:bottom w:val="single" w:color="B9C6E8" w:sz="6"/>
              <w:right w:val="single" w:color="B9C6E8" w:sz="6"/>
            </w:tcBorders>
            <w:tcMar>
              <w:top w:type="dxa" w:w="60"/>
              <w:left w:type="dxa" w:w="100"/>
              <w:bottom w:type="dxa" w:w="60"/>
              <w:right w:type="dxa" w:w="100"/>
            </w:tcMar>
            <w:vAlign w:val="top"/>
          </w:tcPr>
          <w:p>
            <w:pPr>
              <w:spacing w:after="0" w:before="0"/>
            </w:pPr>
            <w:r>
              <w:rPr>
                <w:rFonts w:ascii="Calibri" w:cs="Calibri" w:eastAsia="Calibri" w:hAnsi="Calibri"/>
                <w:color w:val="000000"/>
                <w:sz w:val="18"/>
                <w:szCs w:val="18"/>
              </w:rPr>
              <w:t xml:space="preserve">Aufgabe 2 zu zweit</w:t>
            </w:r>
          </w:p>
        </w:tc>
        <w:tc>
          <w:tcPr>
            <w:tcW w:type="dxa" w:w="4106"/>
            <w:tcBorders>
              <w:top w:val="single" w:color="B9C6E8" w:sz="6"/>
              <w:left w:val="single" w:color="B9C6E8" w:sz="6"/>
              <w:bottom w:val="single" w:color="B9C6E8" w:sz="6"/>
              <w:right w:val="single" w:color="B9C6E8" w:sz="6"/>
            </w:tcBorders>
            <w:shd w:fill="EAF0FA" w:color="auto" w:val="clear"/>
            <w:tcMar>
              <w:top w:type="dxa" w:w="60"/>
              <w:left w:type="dxa" w:w="100"/>
              <w:bottom w:type="dxa" w:w="60"/>
              <w:right w:type="dxa" w:w="100"/>
            </w:tcMar>
            <w:vAlign w:val="top"/>
          </w:tcPr>
          <w:p>
            <w:pPr>
              <w:spacing w:after="0" w:before="0"/>
            </w:pPr>
            <w:r>
              <w:rPr>
                <w:rFonts w:ascii="Calibri" w:cs="Calibri" w:eastAsia="Calibri" w:hAnsi="Calibri"/>
                <w:color w:val="000000"/>
                <w:sz w:val="18"/>
                <w:szCs w:val="18"/>
              </w:rPr>
              <w:t xml:space="preserve">Folie 3, Timer 8 Min. Herumgehen und zuhören: Welche Paare finden Zeile 3? Die merken Sie sich fürs Gespräch.</w:t>
            </w:r>
          </w:p>
        </w:tc>
      </w:tr>
      <w:tr>
        <w:trPr>
          <w:cantSplit/>
          <w:trHeight w:val="500" w:hRule="atLeast"/>
        </w:trPr>
        <w:tc>
          <w:tcPr>
            <w:tcW w:type="dxa" w:w="105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top"/>
          </w:tcPr>
          <w:p>
            <w:pPr>
              <w:spacing w:after="0" w:before="0"/>
            </w:pPr>
            <w:r>
              <w:rPr>
                <w:rFonts w:ascii="Calibri" w:cs="Calibri" w:eastAsia="Calibri" w:hAnsi="Calibri"/>
                <w:b/>
                <w:bCs/>
                <w:color w:val="1E2761"/>
                <w:sz w:val="19"/>
                <w:szCs w:val="19"/>
              </w:rPr>
              <w:t xml:space="preserve">13–18'</w:t>
            </w:r>
          </w:p>
        </w:tc>
        <w:tc>
          <w:tcPr>
            <w:tcW w:type="dxa" w:w="19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top"/>
          </w:tcPr>
          <w:p>
            <w:pPr>
              <w:spacing w:after="10" w:before="0"/>
            </w:pPr>
            <w:r>
              <w:rPr>
                <w:rFonts w:ascii="Calibri" w:cs="Calibri" w:eastAsia="Calibri" w:hAnsi="Calibri"/>
                <w:b/>
                <w:bCs/>
                <w:color w:val="000000"/>
                <w:sz w:val="19"/>
                <w:szCs w:val="19"/>
              </w:rPr>
              <w:t xml:space="preserve">UG: Kipppunkte</w:t>
            </w:r>
          </w:p>
          <w:p>
            <w:pPr>
              <w:spacing w:after="0" w:before="0"/>
            </w:pPr>
            <w:r>
              <w:rPr>
                <w:rFonts w:ascii="Calibri" w:cs="Calibri" w:eastAsia="Calibri" w:hAnsi="Calibri"/>
                <w:color w:val="5B6B8C"/>
                <w:sz w:val="16"/>
                <w:szCs w:val="16"/>
              </w:rPr>
              <w:t xml:space="preserve">Folie 3 → 4</w:t>
            </w:r>
          </w:p>
        </w:tc>
        <w:tc>
          <w:tcPr>
            <w:tcW w:type="dxa" w:w="3150"/>
            <w:tcBorders>
              <w:top w:val="single" w:color="B9C6E8" w:sz="6"/>
              <w:left w:val="single" w:color="B9C6E8" w:sz="6"/>
              <w:bottom w:val="single" w:color="B9C6E8" w:sz="6"/>
              <w:right w:val="single" w:color="B9C6E8" w:sz="6"/>
            </w:tcBorders>
            <w:tcMar>
              <w:top w:type="dxa" w:w="60"/>
              <w:left w:type="dxa" w:w="100"/>
              <w:bottom w:type="dxa" w:w="60"/>
              <w:right w:type="dxa" w:w="100"/>
            </w:tcMar>
            <w:vAlign w:val="top"/>
          </w:tcPr>
          <w:p>
            <w:pPr>
              <w:spacing w:after="0" w:before="0"/>
            </w:pPr>
            <w:r>
              <w:rPr>
                <w:rFonts w:ascii="Calibri" w:cs="Calibri" w:eastAsia="Calibri" w:hAnsi="Calibri"/>
                <w:color w:val="000000"/>
                <w:sz w:val="18"/>
                <w:szCs w:val="18"/>
              </w:rPr>
              <w:t xml:space="preserve">Paare nennen Zeile + Fachbegriff, ergänzen ihre Tabelle in anderer Farbe</w:t>
            </w:r>
          </w:p>
        </w:tc>
        <w:tc>
          <w:tcPr>
            <w:tcW w:type="dxa" w:w="4106"/>
            <w:tcBorders>
              <w:top w:val="single" w:color="B9C6E8" w:sz="6"/>
              <w:left w:val="single" w:color="B9C6E8" w:sz="6"/>
              <w:bottom w:val="single" w:color="B9C6E8" w:sz="6"/>
              <w:right w:val="single" w:color="B9C6E8" w:sz="6"/>
            </w:tcBorders>
            <w:shd w:fill="EAF0FA" w:color="auto" w:val="clear"/>
            <w:tcMar>
              <w:top w:type="dxa" w:w="60"/>
              <w:left w:type="dxa" w:w="100"/>
              <w:bottom w:type="dxa" w:w="60"/>
              <w:right w:type="dxa" w:w="100"/>
            </w:tcMar>
            <w:vAlign w:val="top"/>
          </w:tcPr>
          <w:p>
            <w:pPr>
              <w:spacing w:after="0" w:before="0"/>
            </w:pPr>
            <w:r>
              <w:rPr>
                <w:rFonts w:ascii="Calibri" w:cs="Calibri" w:eastAsia="Calibri" w:hAnsi="Calibri"/>
                <w:color w:val="000000"/>
                <w:sz w:val="18"/>
                <w:szCs w:val="18"/>
              </w:rPr>
              <w:t xml:space="preserve">Impuls: „In welcher Zeile kippt es zum ersten Mal – und warum?“ Wer geantwortet hat, nimmt die nächste Person dran. Ziel: Zeilen 3, 4, 5, 7 – genau die werden gleich umformuliert. Zum Schluss Folie 4.</w:t>
            </w:r>
          </w:p>
        </w:tc>
      </w:tr>
      <w:tr>
        <w:trPr>
          <w:cantSplit/>
          <w:trHeight w:val="500" w:hRule="atLeast"/>
        </w:trPr>
        <w:tc>
          <w:tcPr>
            <w:tcW w:type="dxa" w:w="105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top"/>
          </w:tcPr>
          <w:p>
            <w:pPr>
              <w:spacing w:after="0" w:before="0"/>
            </w:pPr>
            <w:r>
              <w:rPr>
                <w:rFonts w:ascii="Calibri" w:cs="Calibri" w:eastAsia="Calibri" w:hAnsi="Calibri"/>
                <w:b/>
                <w:bCs/>
                <w:color w:val="1E2761"/>
                <w:sz w:val="19"/>
                <w:szCs w:val="19"/>
              </w:rPr>
              <w:t xml:space="preserve">18–41'</w:t>
            </w:r>
          </w:p>
        </w:tc>
        <w:tc>
          <w:tcPr>
            <w:tcW w:type="dxa" w:w="19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top"/>
          </w:tcPr>
          <w:p>
            <w:pPr>
              <w:spacing w:after="10" w:before="0"/>
            </w:pPr>
            <w:r>
              <w:rPr>
                <w:rFonts w:ascii="Calibri" w:cs="Calibri" w:eastAsia="Calibri" w:hAnsi="Calibri"/>
                <w:b/>
                <w:bCs/>
                <w:color w:val="000000"/>
                <w:sz w:val="19"/>
                <w:szCs w:val="19"/>
              </w:rPr>
              <w:t xml:space="preserve">Technik für Technik</w:t>
            </w:r>
          </w:p>
          <w:p>
            <w:pPr>
              <w:spacing w:after="0" w:before="0"/>
            </w:pPr>
            <w:r>
              <w:rPr>
                <w:rFonts w:ascii="Calibri" w:cs="Calibri" w:eastAsia="Calibri" w:hAnsi="Calibri"/>
                <w:color w:val="5B6B8C"/>
                <w:sz w:val="16"/>
                <w:szCs w:val="16"/>
              </w:rPr>
              <w:t xml:space="preserve">Folie 5, dann je 2 Folien pro Technik (6–13)</w:t>
            </w:r>
          </w:p>
        </w:tc>
        <w:tc>
          <w:tcPr>
            <w:tcW w:type="dxa" w:w="3150"/>
            <w:tcBorders>
              <w:top w:val="single" w:color="B9C6E8" w:sz="6"/>
              <w:left w:val="single" w:color="B9C6E8" w:sz="6"/>
              <w:bottom w:val="single" w:color="B9C6E8" w:sz="6"/>
              <w:right w:val="single" w:color="B9C6E8" w:sz="6"/>
            </w:tcBorders>
            <w:tcMar>
              <w:top w:type="dxa" w:w="60"/>
              <w:left w:type="dxa" w:w="100"/>
              <w:bottom w:type="dxa" w:w="60"/>
              <w:right w:type="dxa" w:w="100"/>
            </w:tcMar>
            <w:vAlign w:val="top"/>
          </w:tcPr>
          <w:p>
            <w:pPr>
              <w:spacing w:after="0" w:before="0"/>
            </w:pPr>
            <w:r>
              <w:rPr>
                <w:rFonts w:ascii="Calibri" w:cs="Calibri" w:eastAsia="Calibri" w:hAnsi="Calibri"/>
                <w:color w:val="000000"/>
                <w:sz w:val="18"/>
                <w:szCs w:val="18"/>
              </w:rPr>
              <w:t xml:space="preserve">pro Technik (ca. 5,5'): 1 Ansehen – Kontrastpaar besprechen, Formel in die Lücke; 2 Umformulieren – Zeile aus M1 allein (2'); 3 Prüfen – eine Person liest vor, Daumenprobe</w:t>
            </w:r>
          </w:p>
        </w:tc>
        <w:tc>
          <w:tcPr>
            <w:tcW w:type="dxa" w:w="4106"/>
            <w:tcBorders>
              <w:top w:val="single" w:color="B9C6E8" w:sz="6"/>
              <w:left w:val="single" w:color="B9C6E8" w:sz="6"/>
              <w:bottom w:val="single" w:color="B9C6E8" w:sz="6"/>
              <w:right w:val="single" w:color="B9C6E8" w:sz="6"/>
            </w:tcBorders>
            <w:shd w:fill="EAF0FA" w:color="auto" w:val="clear"/>
            <w:tcMar>
              <w:top w:type="dxa" w:w="60"/>
              <w:left w:type="dxa" w:w="100"/>
              <w:bottom w:type="dxa" w:w="60"/>
              <w:right w:type="dxa" w:w="100"/>
            </w:tcMar>
            <w:vAlign w:val="top"/>
          </w:tcPr>
          <w:p>
            <w:pPr>
              <w:spacing w:after="0" w:before="0"/>
            </w:pPr>
            <w:r>
              <w:rPr>
                <w:rFonts w:ascii="Calibri" w:cs="Calibri" w:eastAsia="Calibri" w:hAnsi="Calibri"/>
                <w:color w:val="000000"/>
                <w:sz w:val="18"/>
                <w:szCs w:val="18"/>
              </w:rPr>
              <w:t xml:space="preserve">Folie 5 kurz zeigen (Takt). Dann je Technik: Folie a mit Kontrastpaar – Impuls: „Was macht den zweiten Satz besser?“ (1,5'). Folie b mit Formel und Auftrag, Timer 2 Min., herumgehen. Eine vorher gesehene gute Lösung vorlesen lassen, Klasse zeigt Daumen hoch/runter – bei „runter“ verbessert die Klasse gemeinsam. A (Z. 3) → B (Z. 4) → C (Z. 5) → D (Z. 7).</w:t>
            </w:r>
          </w:p>
        </w:tc>
      </w:tr>
      <w:tr>
        <w:trPr>
          <w:cantSplit/>
          <w:trHeight w:val="500" w:hRule="atLeast"/>
        </w:trPr>
        <w:tc>
          <w:tcPr>
            <w:tcW w:type="dxa" w:w="105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top"/>
          </w:tcPr>
          <w:p>
            <w:pPr>
              <w:spacing w:after="0" w:before="0"/>
            </w:pPr>
            <w:r>
              <w:rPr>
                <w:rFonts w:ascii="Calibri" w:cs="Calibri" w:eastAsia="Calibri" w:hAnsi="Calibri"/>
                <w:b/>
                <w:bCs/>
                <w:color w:val="1E2761"/>
                <w:sz w:val="19"/>
                <w:szCs w:val="19"/>
              </w:rPr>
              <w:t xml:space="preserve">41–43'</w:t>
            </w:r>
          </w:p>
        </w:tc>
        <w:tc>
          <w:tcPr>
            <w:tcW w:type="dxa" w:w="19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top"/>
          </w:tcPr>
          <w:p>
            <w:pPr>
              <w:spacing w:after="10" w:before="0"/>
            </w:pPr>
            <w:r>
              <w:rPr>
                <w:rFonts w:ascii="Calibri" w:cs="Calibri" w:eastAsia="Calibri" w:hAnsi="Calibri"/>
                <w:b/>
                <w:bCs/>
                <w:color w:val="000000"/>
                <w:sz w:val="19"/>
                <w:szCs w:val="19"/>
              </w:rPr>
              <w:t xml:space="preserve">Werkzeugkasten</w:t>
            </w:r>
          </w:p>
          <w:p>
            <w:pPr>
              <w:spacing w:after="0" w:before="0"/>
            </w:pPr>
            <w:r>
              <w:rPr>
                <w:rFonts w:ascii="Calibri" w:cs="Calibri" w:eastAsia="Calibri" w:hAnsi="Calibri"/>
                <w:color w:val="5B6B8C"/>
                <w:sz w:val="16"/>
                <w:szCs w:val="16"/>
              </w:rPr>
              <w:t xml:space="preserve">Folie 14 (→ 15)</w:t>
            </w:r>
          </w:p>
        </w:tc>
        <w:tc>
          <w:tcPr>
            <w:tcW w:type="dxa" w:w="3150"/>
            <w:tcBorders>
              <w:top w:val="single" w:color="B9C6E8" w:sz="6"/>
              <w:left w:val="single" w:color="B9C6E8" w:sz="6"/>
              <w:bottom w:val="single" w:color="B9C6E8" w:sz="6"/>
              <w:right w:val="single" w:color="B9C6E8" w:sz="6"/>
            </w:tcBorders>
            <w:tcMar>
              <w:top w:type="dxa" w:w="60"/>
              <w:left w:type="dxa" w:w="100"/>
              <w:bottom w:type="dxa" w:w="60"/>
              <w:right w:type="dxa" w:w="100"/>
            </w:tcMar>
            <w:vAlign w:val="top"/>
          </w:tcPr>
          <w:p>
            <w:pPr>
              <w:spacing w:after="0" w:before="0"/>
            </w:pPr>
            <w:r>
              <w:rPr>
                <w:rFonts w:ascii="Calibri" w:cs="Calibri" w:eastAsia="Calibri" w:hAnsi="Calibri"/>
                <w:color w:val="000000"/>
                <w:sz w:val="18"/>
                <w:szCs w:val="18"/>
              </w:rPr>
              <w:t xml:space="preserve">vergleicht die eigenen Formeln und Lösungen mit der Übersicht</w:t>
            </w:r>
          </w:p>
        </w:tc>
        <w:tc>
          <w:tcPr>
            <w:tcW w:type="dxa" w:w="4106"/>
            <w:tcBorders>
              <w:top w:val="single" w:color="B9C6E8" w:sz="6"/>
              <w:left w:val="single" w:color="B9C6E8" w:sz="6"/>
              <w:bottom w:val="single" w:color="B9C6E8" w:sz="6"/>
              <w:right w:val="single" w:color="B9C6E8" w:sz="6"/>
            </w:tcBorders>
            <w:shd w:fill="EAF0FA" w:color="auto" w:val="clear"/>
            <w:tcMar>
              <w:top w:type="dxa" w:w="60"/>
              <w:left w:type="dxa" w:w="100"/>
              <w:bottom w:type="dxa" w:w="60"/>
              <w:right w:type="dxa" w:w="100"/>
            </w:tcMar>
            <w:vAlign w:val="top"/>
          </w:tcPr>
          <w:p>
            <w:pPr>
              <w:spacing w:after="0" w:before="0"/>
            </w:pPr>
            <w:r>
              <w:rPr>
                <w:rFonts w:ascii="Calibri" w:cs="Calibri" w:eastAsia="Calibri" w:hAnsi="Calibri"/>
                <w:color w:val="000000"/>
                <w:sz w:val="18"/>
                <w:szCs w:val="18"/>
              </w:rPr>
              <w:t xml:space="preserve">Folie 14 als Zusammenfassung zeigen. Folie 15 (ganzer Dialog) nur, wenn Zeit bleibt.</w:t>
            </w:r>
          </w:p>
        </w:tc>
      </w:tr>
      <w:tr>
        <w:trPr>
          <w:cantSplit/>
          <w:trHeight w:val="500" w:hRule="atLeast"/>
        </w:trPr>
        <w:tc>
          <w:tcPr>
            <w:tcW w:type="dxa" w:w="105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top"/>
          </w:tcPr>
          <w:p>
            <w:pPr>
              <w:spacing w:after="0" w:before="0"/>
            </w:pPr>
            <w:r>
              <w:rPr>
                <w:rFonts w:ascii="Calibri" w:cs="Calibri" w:eastAsia="Calibri" w:hAnsi="Calibri"/>
                <w:b/>
                <w:bCs/>
                <w:color w:val="1E2761"/>
                <w:sz w:val="19"/>
                <w:szCs w:val="19"/>
              </w:rPr>
              <w:t xml:space="preserve">43–62'</w:t>
            </w:r>
          </w:p>
        </w:tc>
        <w:tc>
          <w:tcPr>
            <w:tcW w:type="dxa" w:w="19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top"/>
          </w:tcPr>
          <w:p>
            <w:pPr>
              <w:spacing w:after="10" w:before="0"/>
            </w:pPr>
            <w:r>
              <w:rPr>
                <w:rFonts w:ascii="Calibri" w:cs="Calibri" w:eastAsia="Calibri" w:hAnsi="Calibri"/>
                <w:b/>
                <w:bCs/>
                <w:color w:val="000000"/>
                <w:sz w:val="19"/>
                <w:szCs w:val="19"/>
              </w:rPr>
              <w:t xml:space="preserve">Umsetzen + eigene Szene</w:t>
            </w:r>
          </w:p>
          <w:p>
            <w:pPr>
              <w:spacing w:after="0" w:before="0"/>
            </w:pPr>
            <w:r>
              <w:rPr>
                <w:rFonts w:ascii="Calibri" w:cs="Calibri" w:eastAsia="Calibri" w:hAnsi="Calibri"/>
                <w:color w:val="5B6B8C"/>
                <w:sz w:val="16"/>
                <w:szCs w:val="16"/>
              </w:rPr>
              <w:t xml:space="preserve">Folie 16</w:t>
            </w:r>
          </w:p>
        </w:tc>
        <w:tc>
          <w:tcPr>
            <w:tcW w:type="dxa" w:w="3150"/>
            <w:tcBorders>
              <w:top w:val="single" w:color="B9C6E8" w:sz="6"/>
              <w:left w:val="single" w:color="B9C6E8" w:sz="6"/>
              <w:bottom w:val="single" w:color="B9C6E8" w:sz="6"/>
              <w:right w:val="single" w:color="B9C6E8" w:sz="6"/>
            </w:tcBorders>
            <w:tcMar>
              <w:top w:type="dxa" w:w="60"/>
              <w:left w:type="dxa" w:w="100"/>
              <w:bottom w:type="dxa" w:w="60"/>
              <w:right w:type="dxa" w:w="100"/>
            </w:tcMar>
            <w:vAlign w:val="top"/>
          </w:tcPr>
          <w:p>
            <w:pPr>
              <w:spacing w:after="0" w:before="0"/>
            </w:pPr>
            <w:r>
              <w:rPr>
                <w:rFonts w:ascii="Calibri" w:cs="Calibri" w:eastAsia="Calibri" w:hAnsi="Calibri"/>
                <w:color w:val="000000"/>
                <w:sz w:val="18"/>
                <w:szCs w:val="18"/>
              </w:rPr>
              <w:t xml:space="preserve">Reihen rücken zusammen, öffnen den Umschlag, verteilen Rollen (3'); erfinden eine eigene Situation, verteilen Besetzung A und B, proben in den letzten 5'</w:t>
            </w:r>
          </w:p>
        </w:tc>
        <w:tc>
          <w:tcPr>
            <w:tcW w:type="dxa" w:w="4106"/>
            <w:tcBorders>
              <w:top w:val="single" w:color="B9C6E8" w:sz="6"/>
              <w:left w:val="single" w:color="B9C6E8" w:sz="6"/>
              <w:bottom w:val="single" w:color="B9C6E8" w:sz="6"/>
              <w:right w:val="single" w:color="B9C6E8" w:sz="6"/>
            </w:tcBorders>
            <w:shd w:fill="EAF0FA" w:color="auto" w:val="clear"/>
            <w:tcMar>
              <w:top w:type="dxa" w:w="60"/>
              <w:left w:type="dxa" w:w="100"/>
              <w:bottom w:type="dxa" w:w="60"/>
              <w:right w:type="dxa" w:w="100"/>
            </w:tcMar>
            <w:vAlign w:val="top"/>
          </w:tcPr>
          <w:p>
            <w:pPr>
              <w:spacing w:after="0" w:before="0"/>
            </w:pPr>
            <w:r>
              <w:rPr>
                <w:rFonts w:ascii="Calibri" w:cs="Calibri" w:eastAsia="Calibri" w:hAnsi="Calibri"/>
                <w:color w:val="000000"/>
                <w:sz w:val="18"/>
                <w:szCs w:val="18"/>
              </w:rPr>
              <w:t xml:space="preserve">Folie 16, Timer 3 + 16 Min. Nach 5 Min. Runde: Hat jede Gruppe eine Idee? Wenn nicht: erst Tippkarte, dann Notfall-Idee. Um ca. 57': eine Person als Moderation gewinnen und ihr die Moderationskarte geben.</w:t>
            </w:r>
          </w:p>
        </w:tc>
      </w:tr>
      <w:tr>
        <w:trPr>
          <w:cantSplit/>
          <w:trHeight w:val="500" w:hRule="atLeast"/>
        </w:trPr>
        <w:tc>
          <w:tcPr>
            <w:tcW w:type="dxa" w:w="105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top"/>
          </w:tcPr>
          <w:p>
            <w:pPr>
              <w:spacing w:after="0" w:before="0"/>
            </w:pPr>
            <w:r>
              <w:rPr>
                <w:rFonts w:ascii="Calibri" w:cs="Calibri" w:eastAsia="Calibri" w:hAnsi="Calibri"/>
                <w:b/>
                <w:bCs/>
                <w:color w:val="1E2761"/>
                <w:sz w:val="19"/>
                <w:szCs w:val="19"/>
              </w:rPr>
              <w:t xml:space="preserve">62–75'</w:t>
            </w:r>
          </w:p>
        </w:tc>
        <w:tc>
          <w:tcPr>
            <w:tcW w:type="dxa" w:w="19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top"/>
          </w:tcPr>
          <w:p>
            <w:pPr>
              <w:spacing w:after="10" w:before="0"/>
            </w:pPr>
            <w:r>
              <w:rPr>
                <w:rFonts w:ascii="Calibri" w:cs="Calibri" w:eastAsia="Calibri" w:hAnsi="Calibri"/>
                <w:b/>
                <w:bCs/>
                <w:color w:val="000000"/>
                <w:sz w:val="19"/>
                <w:szCs w:val="19"/>
              </w:rPr>
              <w:t xml:space="preserve">Bühne frei</w:t>
            </w:r>
          </w:p>
          <w:p>
            <w:pPr>
              <w:spacing w:after="0" w:before="0"/>
            </w:pPr>
            <w:r>
              <w:rPr>
                <w:rFonts w:ascii="Calibri" w:cs="Calibri" w:eastAsia="Calibri" w:hAnsi="Calibri"/>
                <w:color w:val="5B6B8C"/>
                <w:sz w:val="16"/>
                <w:szCs w:val="16"/>
              </w:rPr>
              <w:t xml:space="preserve">Folie 17</w:t>
            </w:r>
          </w:p>
        </w:tc>
        <w:tc>
          <w:tcPr>
            <w:tcW w:type="dxa" w:w="3150"/>
            <w:tcBorders>
              <w:top w:val="single" w:color="B9C6E8" w:sz="6"/>
              <w:left w:val="single" w:color="B9C6E8" w:sz="6"/>
              <w:bottom w:val="single" w:color="B9C6E8" w:sz="6"/>
              <w:right w:val="single" w:color="B9C6E8" w:sz="6"/>
            </w:tcBorders>
            <w:tcMar>
              <w:top w:type="dxa" w:w="60"/>
              <w:left w:type="dxa" w:w="100"/>
              <w:bottom w:type="dxa" w:w="60"/>
              <w:right w:type="dxa" w:w="100"/>
            </w:tcMar>
            <w:vAlign w:val="top"/>
          </w:tcPr>
          <w:p>
            <w:pPr>
              <w:spacing w:after="0" w:before="0"/>
            </w:pPr>
            <w:r>
              <w:rPr>
                <w:rFonts w:ascii="Calibri" w:cs="Calibri" w:eastAsia="Calibri" w:hAnsi="Calibri"/>
                <w:color w:val="000000"/>
                <w:sz w:val="18"/>
                <w:szCs w:val="18"/>
              </w:rPr>
              <w:t xml:space="preserve">Wand → Mitte → Fenster spielen je Version A und B ohne Unterbrechung; das Publikum füllt den Beobachtungsbogen aus</w:t>
            </w:r>
          </w:p>
        </w:tc>
        <w:tc>
          <w:tcPr>
            <w:tcW w:type="dxa" w:w="4106"/>
            <w:tcBorders>
              <w:top w:val="single" w:color="B9C6E8" w:sz="6"/>
              <w:left w:val="single" w:color="B9C6E8" w:sz="6"/>
              <w:bottom w:val="single" w:color="B9C6E8" w:sz="6"/>
              <w:right w:val="single" w:color="B9C6E8" w:sz="6"/>
            </w:tcBorders>
            <w:shd w:fill="EAF0FA" w:color="auto" w:val="clear"/>
            <w:tcMar>
              <w:top w:type="dxa" w:w="60"/>
              <w:left w:type="dxa" w:w="100"/>
              <w:bottom w:type="dxa" w:w="60"/>
              <w:right w:type="dxa" w:w="100"/>
            </w:tcMar>
            <w:vAlign w:val="top"/>
          </w:tcPr>
          <w:p>
            <w:pPr>
              <w:spacing w:after="0" w:before="0"/>
            </w:pPr>
            <w:r>
              <w:rPr>
                <w:rFonts w:ascii="Calibri" w:cs="Calibri" w:eastAsia="Calibri" w:hAnsi="Calibri"/>
                <w:color w:val="000000"/>
                <w:sz w:val="18"/>
                <w:szCs w:val="18"/>
              </w:rPr>
              <w:t xml:space="preserve">Folie 17. Ins Publikum setzen, die Moderation leitet. Pro Gruppe ca. 4 Min. Gelungene Formulierungen notieren.</w:t>
            </w:r>
          </w:p>
        </w:tc>
      </w:tr>
      <w:tr>
        <w:trPr>
          <w:cantSplit/>
          <w:trHeight w:val="500" w:hRule="atLeast"/>
        </w:trPr>
        <w:tc>
          <w:tcPr>
            <w:tcW w:type="dxa" w:w="105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top"/>
          </w:tcPr>
          <w:p>
            <w:pPr>
              <w:spacing w:after="0" w:before="0"/>
            </w:pPr>
            <w:r>
              <w:rPr>
                <w:rFonts w:ascii="Calibri" w:cs="Calibri" w:eastAsia="Calibri" w:hAnsi="Calibri"/>
                <w:b/>
                <w:bCs/>
                <w:color w:val="1E2761"/>
                <w:sz w:val="19"/>
                <w:szCs w:val="19"/>
              </w:rPr>
              <w:t xml:space="preserve">75–84'</w:t>
            </w:r>
          </w:p>
        </w:tc>
        <w:tc>
          <w:tcPr>
            <w:tcW w:type="dxa" w:w="19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top"/>
          </w:tcPr>
          <w:p>
            <w:pPr>
              <w:spacing w:after="10" w:before="0"/>
            </w:pPr>
            <w:r>
              <w:rPr>
                <w:rFonts w:ascii="Calibri" w:cs="Calibri" w:eastAsia="Calibri" w:hAnsi="Calibri"/>
                <w:b/>
                <w:bCs/>
                <w:color w:val="000000"/>
                <w:sz w:val="19"/>
                <w:szCs w:val="19"/>
              </w:rPr>
              <w:t xml:space="preserve">Auswertung</w:t>
            </w:r>
          </w:p>
          <w:p>
            <w:pPr>
              <w:spacing w:after="0" w:before="0"/>
            </w:pPr>
            <w:r>
              <w:rPr>
                <w:rFonts w:ascii="Calibri" w:cs="Calibri" w:eastAsia="Calibri" w:hAnsi="Calibri"/>
                <w:color w:val="5B6B8C"/>
                <w:sz w:val="16"/>
                <w:szCs w:val="16"/>
              </w:rPr>
              <w:t xml:space="preserve">Folie 18</w:t>
            </w:r>
          </w:p>
        </w:tc>
        <w:tc>
          <w:tcPr>
            <w:tcW w:type="dxa" w:w="3150"/>
            <w:tcBorders>
              <w:top w:val="single" w:color="B9C6E8" w:sz="6"/>
              <w:left w:val="single" w:color="B9C6E8" w:sz="6"/>
              <w:bottom w:val="single" w:color="B9C6E8" w:sz="6"/>
              <w:right w:val="single" w:color="B9C6E8" w:sz="6"/>
            </w:tcBorders>
            <w:tcMar>
              <w:top w:type="dxa" w:w="60"/>
              <w:left w:type="dxa" w:w="100"/>
              <w:bottom w:type="dxa" w:w="60"/>
              <w:right w:type="dxa" w:w="100"/>
            </w:tcMar>
            <w:vAlign w:val="top"/>
          </w:tcPr>
          <w:p>
            <w:pPr>
              <w:spacing w:after="0" w:before="0"/>
            </w:pPr>
            <w:r>
              <w:rPr>
                <w:rFonts w:ascii="Calibri" w:cs="Calibri" w:eastAsia="Calibri" w:hAnsi="Calibri"/>
                <w:color w:val="000000"/>
                <w:sz w:val="18"/>
                <w:szCs w:val="18"/>
              </w:rPr>
              <w:t xml:space="preserve">2' still Bogen ergänzen → 2' Gruppe bespricht die Patenszene → Plenum: je Gruppe ca. 1,5 Min. Rückmeldung</w:t>
            </w:r>
          </w:p>
        </w:tc>
        <w:tc>
          <w:tcPr>
            <w:tcW w:type="dxa" w:w="4106"/>
            <w:tcBorders>
              <w:top w:val="single" w:color="B9C6E8" w:sz="6"/>
              <w:left w:val="single" w:color="B9C6E8" w:sz="6"/>
              <w:bottom w:val="single" w:color="B9C6E8" w:sz="6"/>
              <w:right w:val="single" w:color="B9C6E8" w:sz="6"/>
            </w:tcBorders>
            <w:shd w:fill="EAF0FA" w:color="auto" w:val="clear"/>
            <w:tcMar>
              <w:top w:type="dxa" w:w="60"/>
              <w:left w:type="dxa" w:w="100"/>
              <w:bottom w:type="dxa" w:w="60"/>
              <w:right w:type="dxa" w:w="100"/>
            </w:tcMar>
            <w:vAlign w:val="top"/>
          </w:tcPr>
          <w:p>
            <w:pPr>
              <w:spacing w:after="0" w:before="0"/>
            </w:pPr>
            <w:r>
              <w:rPr>
                <w:rFonts w:ascii="Calibri" w:cs="Calibri" w:eastAsia="Calibri" w:hAnsi="Calibri"/>
                <w:color w:val="000000"/>
                <w:sz w:val="18"/>
                <w:szCs w:val="18"/>
              </w:rPr>
              <w:t xml:space="preserve">Folie 18. Die Moderation führt durch die Schritte (oder Sie übernehmen Schritt 3).</w:t>
            </w:r>
          </w:p>
        </w:tc>
      </w:tr>
      <w:tr>
        <w:trPr>
          <w:cantSplit/>
          <w:trHeight w:val="500" w:hRule="atLeast"/>
        </w:trPr>
        <w:tc>
          <w:tcPr>
            <w:tcW w:type="dxa" w:w="105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top"/>
          </w:tcPr>
          <w:p>
            <w:pPr>
              <w:spacing w:after="0" w:before="0"/>
            </w:pPr>
            <w:r>
              <w:rPr>
                <w:rFonts w:ascii="Calibri" w:cs="Calibri" w:eastAsia="Calibri" w:hAnsi="Calibri"/>
                <w:b/>
                <w:bCs/>
                <w:color w:val="1E2761"/>
                <w:sz w:val="19"/>
                <w:szCs w:val="19"/>
              </w:rPr>
              <w:t xml:space="preserve">84–90'</w:t>
            </w:r>
          </w:p>
        </w:tc>
        <w:tc>
          <w:tcPr>
            <w:tcW w:type="dxa" w:w="19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top"/>
          </w:tcPr>
          <w:p>
            <w:pPr>
              <w:spacing w:after="10" w:before="0"/>
            </w:pPr>
            <w:r>
              <w:rPr>
                <w:rFonts w:ascii="Calibri" w:cs="Calibri" w:eastAsia="Calibri" w:hAnsi="Calibri"/>
                <w:b/>
                <w:bCs/>
                <w:color w:val="000000"/>
                <w:sz w:val="19"/>
                <w:szCs w:val="19"/>
              </w:rPr>
              <w:t xml:space="preserve">Exit-Ticket: Mini-Test</w:t>
            </w:r>
          </w:p>
          <w:p>
            <w:pPr>
              <w:spacing w:after="0" w:before="0"/>
            </w:pPr>
            <w:r>
              <w:rPr>
                <w:rFonts w:ascii="Calibri" w:cs="Calibri" w:eastAsia="Calibri" w:hAnsi="Calibri"/>
                <w:color w:val="5B6B8C"/>
                <w:sz w:val="16"/>
                <w:szCs w:val="16"/>
              </w:rPr>
              <w:t xml:space="preserve">Folie 19</w:t>
            </w:r>
          </w:p>
        </w:tc>
        <w:tc>
          <w:tcPr>
            <w:tcW w:type="dxa" w:w="3150"/>
            <w:tcBorders>
              <w:top w:val="single" w:color="B9C6E8" w:sz="6"/>
              <w:left w:val="single" w:color="B9C6E8" w:sz="6"/>
              <w:bottom w:val="single" w:color="B9C6E8" w:sz="6"/>
              <w:right w:val="single" w:color="B9C6E8" w:sz="6"/>
            </w:tcBorders>
            <w:tcMar>
              <w:top w:type="dxa" w:w="60"/>
              <w:left w:type="dxa" w:w="100"/>
              <w:bottom w:type="dxa" w:w="60"/>
              <w:right w:type="dxa" w:w="100"/>
            </w:tcMar>
            <w:vAlign w:val="top"/>
          </w:tcPr>
          <w:p>
            <w:pPr>
              <w:spacing w:after="0" w:before="0"/>
            </w:pPr>
            <w:r>
              <w:rPr>
                <w:rFonts w:ascii="Calibri" w:cs="Calibri" w:eastAsia="Calibri" w:hAnsi="Calibri"/>
                <w:color w:val="000000"/>
                <w:sz w:val="18"/>
                <w:szCs w:val="18"/>
              </w:rPr>
              <w:t xml:space="preserve">bearbeitet allein einen neuen Kurzdialog: Kipppunkt benennen, mit zwei Techniken umschreiben</w:t>
            </w:r>
          </w:p>
        </w:tc>
        <w:tc>
          <w:tcPr>
            <w:tcW w:type="dxa" w:w="4106"/>
            <w:tcBorders>
              <w:top w:val="single" w:color="B9C6E8" w:sz="6"/>
              <w:left w:val="single" w:color="B9C6E8" w:sz="6"/>
              <w:bottom w:val="single" w:color="B9C6E8" w:sz="6"/>
              <w:right w:val="single" w:color="B9C6E8" w:sz="6"/>
            </w:tcBorders>
            <w:shd w:fill="EAF0FA" w:color="auto" w:val="clear"/>
            <w:tcMar>
              <w:top w:type="dxa" w:w="60"/>
              <w:left w:type="dxa" w:w="100"/>
              <w:bottom w:type="dxa" w:w="60"/>
              <w:right w:type="dxa" w:w="100"/>
            </w:tcMar>
            <w:vAlign w:val="top"/>
          </w:tcPr>
          <w:p>
            <w:pPr>
              <w:spacing w:after="0" w:before="0"/>
            </w:pPr>
            <w:r>
              <w:rPr>
                <w:rFonts w:ascii="Calibri" w:cs="Calibri" w:eastAsia="Calibri" w:hAnsi="Calibri"/>
                <w:color w:val="000000"/>
                <w:sz w:val="18"/>
                <w:szCs w:val="18"/>
              </w:rPr>
              <w:t xml:space="preserve">Folie 19, Timer 6 Min. Einsammeln an der Tür. Das Format entspricht der Testaufgabe.</w:t>
            </w:r>
          </w:p>
        </w:tc>
      </w:tr>
      <w:tr>
        <w:trPr>
          <w:cantSplit/>
          <w:trHeight w:val="500" w:hRule="atLeast"/>
        </w:trPr>
        <w:tc>
          <w:tcPr>
            <w:tcW w:type="dxa" w:w="105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top"/>
          </w:tcPr>
          <w:p>
            <w:pPr>
              <w:spacing w:after="0" w:before="0"/>
            </w:pPr>
            <w:r>
              <w:rPr>
                <w:rFonts w:ascii="Calibri" w:cs="Calibri" w:eastAsia="Calibri" w:hAnsi="Calibri"/>
                <w:b/>
                <w:bCs/>
                <w:color w:val="1E2761"/>
                <w:sz w:val="19"/>
                <w:szCs w:val="19"/>
              </w:rPr>
              <w:t xml:space="preserve">danach</w:t>
            </w:r>
          </w:p>
        </w:tc>
        <w:tc>
          <w:tcPr>
            <w:tcW w:type="dxa" w:w="19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top"/>
          </w:tcPr>
          <w:p>
            <w:pPr>
              <w:spacing w:after="10" w:before="0"/>
            </w:pPr>
            <w:r>
              <w:rPr>
                <w:rFonts w:ascii="Calibri" w:cs="Calibri" w:eastAsia="Calibri" w:hAnsi="Calibri"/>
                <w:b/>
                <w:bCs/>
                <w:color w:val="000000"/>
                <w:sz w:val="19"/>
                <w:szCs w:val="19"/>
              </w:rPr>
              <w:t xml:space="preserve">Nachbereitung</w:t>
            </w:r>
          </w:p>
        </w:tc>
        <w:tc>
          <w:tcPr>
            <w:tcW w:type="dxa" w:w="3150"/>
            <w:tcBorders>
              <w:top w:val="single" w:color="B9C6E8" w:sz="6"/>
              <w:left w:val="single" w:color="B9C6E8" w:sz="6"/>
              <w:bottom w:val="single" w:color="B9C6E8" w:sz="6"/>
              <w:right w:val="single" w:color="B9C6E8" w:sz="6"/>
            </w:tcBorders>
            <w:tcMar>
              <w:top w:type="dxa" w:w="60"/>
              <w:left w:type="dxa" w:w="100"/>
              <w:bottom w:type="dxa" w:w="60"/>
              <w:right w:type="dxa" w:w="100"/>
            </w:tcMar>
            <w:vAlign w:val="top"/>
          </w:tcPr>
          <w:p>
            <w:pPr>
              <w:spacing w:after="0" w:before="0"/>
            </w:pPr>
            <w:r>
              <w:rPr>
                <w:rFonts w:ascii="Calibri" w:cs="Calibri" w:eastAsia="Calibri" w:hAnsi="Calibri"/>
                <w:color w:val="000000"/>
                <w:sz w:val="18"/>
                <w:szCs w:val="18"/>
              </w:rPr>
              <w:t xml:space="preserve"/>
            </w:r>
          </w:p>
        </w:tc>
        <w:tc>
          <w:tcPr>
            <w:tcW w:type="dxa" w:w="4106"/>
            <w:tcBorders>
              <w:top w:val="single" w:color="B9C6E8" w:sz="6"/>
              <w:left w:val="single" w:color="B9C6E8" w:sz="6"/>
              <w:bottom w:val="single" w:color="B9C6E8" w:sz="6"/>
              <w:right w:val="single" w:color="B9C6E8" w:sz="6"/>
            </w:tcBorders>
            <w:shd w:fill="EAF0FA" w:color="auto" w:val="clear"/>
            <w:tcMar>
              <w:top w:type="dxa" w:w="60"/>
              <w:left w:type="dxa" w:w="100"/>
              <w:bottom w:type="dxa" w:w="60"/>
              <w:right w:type="dxa" w:w="100"/>
            </w:tcMar>
            <w:vAlign w:val="top"/>
          </w:tcPr>
          <w:p>
            <w:pPr>
              <w:spacing w:after="0" w:before="0"/>
            </w:pPr>
            <w:r>
              <w:rPr>
                <w:rFonts w:ascii="Calibri" w:cs="Calibri" w:eastAsia="Calibri" w:hAnsi="Calibri"/>
                <w:color w:val="000000"/>
                <w:sz w:val="18"/>
                <w:szCs w:val="18"/>
              </w:rPr>
              <w:t xml:space="preserve">Mini-Tests sichten (Erwartungshorizont S. 4): Wer kann einen Kipppunkt allein umschreiben? Welche Technik gelingt noch nicht? Daraus die Übung für die nächste Stunde ableiten.</w:t>
            </w:r>
          </w:p>
        </w:tc>
      </w:tr>
    </w:tbl>
    <w:p>
      <w:pPr>
        <w:pageBreakBefore/>
        <w:spacing w:after="20" w:before="0"/>
      </w:pPr>
      <w:r>
        <w:rPr>
          <w:rFonts w:ascii="Calibri" w:cs="Calibri" w:eastAsia="Calibri" w:hAnsi="Calibri"/>
          <w:b/>
          <w:bCs/>
          <w:color w:val="5B6B8C"/>
          <w:sz w:val="18"/>
          <w:szCs w:val="18"/>
        </w:rPr>
        <w:t xml:space="preserve">ERWARTUNGSHORIZONT · UNTERRICHTSGESPRÄCH · AUFGABE 2 (AUCH FOLIE 4)</w:t>
      </w:r>
    </w:p>
    <w:p>
      <w:pPr>
        <w:spacing w:after="60" w:before="0"/>
      </w:pPr>
      <w:r>
        <w:rPr>
          <w:rFonts w:ascii="Cambria" w:cs="Cambria" w:eastAsia="Cambria" w:hAnsi="Cambria"/>
          <w:b/>
          <w:bCs/>
          <w:color w:val="1E2761"/>
          <w:sz w:val="40"/>
          <w:szCs w:val="40"/>
        </w:rPr>
        <w:t xml:space="preserve">Kipppunkte in „Das Referat“</w:t>
      </w:r>
    </w:p>
    <w:p>
      <w:pPr>
        <w:spacing w:after="120" w:before="0"/>
      </w:pPr>
      <w:r>
        <w:rPr>
          <w:rFonts w:ascii="Calibri" w:cs="Calibri" w:eastAsia="Calibri" w:hAnsi="Calibri"/>
          <w:i/>
          <w:iCs/>
          <w:color w:val="5B6B8C"/>
          <w:sz w:val="20"/>
          <w:szCs w:val="20"/>
        </w:rPr>
        <w:t xml:space="preserve">Erwartung: mindestens drei Kipppunkte, darunter Zeile 3. Andere Begründungen sind richtig, wenn sie mit dem Text und einem Modell belegt sind.</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800"/>
        <w:gridCol w:w="2900"/>
        <w:gridCol w:w="4006"/>
        <w:gridCol w:w="2500"/>
      </w:tblGrid>
      <w:tr>
        <w:trPr>
          <w:cantSplit/>
          <w:trHeight w:val="440" w:hRule="atLeast"/>
        </w:trPr>
        <w:tc>
          <w:tcPr>
            <w:tcW w:type="dxa" w:w="8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Zeile</w:t>
            </w:r>
          </w:p>
        </w:tc>
        <w:tc>
          <w:tcPr>
            <w:tcW w:type="dxa" w:w="29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Was passiert?</w:t>
            </w:r>
          </w:p>
        </w:tc>
        <w:tc>
          <w:tcPr>
            <w:tcW w:type="dxa" w:w="4006"/>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Warum kippt es hier?</w:t>
            </w:r>
          </w:p>
        </w:tc>
        <w:tc>
          <w:tcPr>
            <w:tcW w:type="dxa" w:w="25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Was hätte geholfen?</w:t>
            </w:r>
          </w:p>
        </w:tc>
      </w:tr>
      <w:tr>
        <w:trPr>
          <w:cantSplit/>
          <w:trHeight w:val="1100" w:hRule="atLeast"/>
        </w:trPr>
        <w:tc>
          <w:tcPr>
            <w:tcW w:type="dxa" w:w="8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D9534F"/>
                <w:sz w:val="22"/>
                <w:szCs w:val="22"/>
              </w:rPr>
              <w:t xml:space="preserve">3 ★</w:t>
            </w:r>
          </w:p>
        </w:tc>
        <w:tc>
          <w:tcPr>
            <w:tcW w:type="dxa" w:w="2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mbria" w:cs="Cambria" w:eastAsia="Cambria" w:hAnsi="Cambria"/>
                <w:i/>
                <w:iCs/>
                <w:color w:val="000000"/>
                <w:sz w:val="20"/>
                <w:szCs w:val="20"/>
              </w:rPr>
              <w:t xml:space="preserve">„Du hattest eine ganze Woche Zeit.“</w:t>
            </w:r>
          </w:p>
        </w:tc>
        <w:tc>
          <w:tcPr>
            <w:tcW w:type="dxa" w:w="40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19"/>
                <w:szCs w:val="19"/>
              </w:rPr>
              <w:t xml:space="preserve">Erster Kipppunkt. Lenas Selbstkundgabe (Ich bin nervös wegen morgen) versteckt sich in einem Vorwurf, also einer Du-Botschaft. Tom hört mit dem Beziehungsohr: „Du hältst mich für unzuverlässig.“</w:t>
            </w:r>
          </w:p>
        </w:tc>
        <w:tc>
          <w:tcPr>
            <w:tcW w:type="dxa" w:w="2500"/>
            <w:tcBorders>
              <w:top w:val="single" w:color="B9C6E8" w:sz="6"/>
              <w:left w:val="single" w:color="B9C6E8" w:sz="6"/>
              <w:bottom w:val="single" w:color="B9C6E8" w:sz="6"/>
              <w:right w:val="single" w:color="B9C6E8" w:sz="6"/>
            </w:tcBorders>
            <w:shd w:fill="EAF0FA" w:color="auto" w:val="clear"/>
            <w:tcMar>
              <w:top w:type="dxa" w:w="60"/>
              <w:left w:type="dxa" w:w="100"/>
              <w:bottom w:type="dxa" w:w="60"/>
              <w:right w:type="dxa" w:w="100"/>
            </w:tcMar>
            <w:vAlign w:val="center"/>
          </w:tcPr>
          <w:p>
            <w:pPr>
              <w:spacing w:after="0" w:before="0"/>
            </w:pPr>
            <w:r>
              <w:rPr>
                <w:rFonts w:ascii="Calibri" w:cs="Calibri" w:eastAsia="Calibri" w:hAnsi="Calibri"/>
                <w:b/>
                <w:bCs/>
                <w:color w:val="1E2761"/>
                <w:sz w:val="19"/>
                <w:szCs w:val="19"/>
              </w:rPr>
              <w:t xml:space="preserve">A Ich-Botschaft, C Bitte mit Uhrzeit</w:t>
            </w:r>
          </w:p>
        </w:tc>
      </w:tr>
      <w:tr>
        <w:trPr>
          <w:cantSplit/>
          <w:trHeight w:val="1100" w:hRule="atLeast"/>
        </w:trPr>
        <w:tc>
          <w:tcPr>
            <w:tcW w:type="dxa" w:w="8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D9534F"/>
                <w:sz w:val="22"/>
                <w:szCs w:val="22"/>
              </w:rPr>
              <w:t xml:space="preserve">4</w:t>
            </w:r>
          </w:p>
        </w:tc>
        <w:tc>
          <w:tcPr>
            <w:tcW w:type="dxa" w:w="2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mbria" w:cs="Cambria" w:eastAsia="Cambria" w:hAnsi="Cambria"/>
                <w:i/>
                <w:iCs/>
                <w:color w:val="000000"/>
                <w:sz w:val="20"/>
                <w:szCs w:val="20"/>
              </w:rPr>
              <w:t xml:space="preserve">„Nicht jeder hat so viel Freizeit wie du.“</w:t>
            </w:r>
          </w:p>
        </w:tc>
        <w:tc>
          <w:tcPr>
            <w:tcW w:type="dxa" w:w="40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19"/>
                <w:szCs w:val="19"/>
              </w:rPr>
              <w:t xml:space="preserve">Tom verteidigt sich mit einem Gegenangriff auf der Beziehungsebene statt die Sache zu klären. Beginn der symmetrischen Eskalation: Jeder will „oben“ bleiben.</w:t>
            </w:r>
          </w:p>
        </w:tc>
        <w:tc>
          <w:tcPr>
            <w:tcW w:type="dxa" w:w="2500"/>
            <w:tcBorders>
              <w:top w:val="single" w:color="B9C6E8" w:sz="6"/>
              <w:left w:val="single" w:color="B9C6E8" w:sz="6"/>
              <w:bottom w:val="single" w:color="B9C6E8" w:sz="6"/>
              <w:right w:val="single" w:color="B9C6E8" w:sz="6"/>
            </w:tcBorders>
            <w:shd w:fill="EAF0FA" w:color="auto" w:val="clear"/>
            <w:tcMar>
              <w:top w:type="dxa" w:w="60"/>
              <w:left w:type="dxa" w:w="100"/>
              <w:bottom w:type="dxa" w:w="60"/>
              <w:right w:type="dxa" w:w="100"/>
            </w:tcMar>
            <w:vAlign w:val="center"/>
          </w:tcPr>
          <w:p>
            <w:pPr>
              <w:spacing w:after="0" w:before="0"/>
            </w:pPr>
            <w:r>
              <w:rPr>
                <w:rFonts w:ascii="Calibri" w:cs="Calibri" w:eastAsia="Calibri" w:hAnsi="Calibri"/>
                <w:b/>
                <w:bCs/>
                <w:color w:val="1E2761"/>
                <w:sz w:val="19"/>
                <w:szCs w:val="19"/>
              </w:rPr>
              <w:t xml:space="preserve">B Empathie: Lenas Stress anerkennen</w:t>
            </w:r>
          </w:p>
        </w:tc>
      </w:tr>
      <w:tr>
        <w:trPr>
          <w:cantSplit/>
          <w:trHeight w:val="1100" w:hRule="atLeast"/>
        </w:trPr>
        <w:tc>
          <w:tcPr>
            <w:tcW w:type="dxa" w:w="8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D9534F"/>
                <w:sz w:val="22"/>
                <w:szCs w:val="22"/>
              </w:rPr>
              <w:t xml:space="preserve">5</w:t>
            </w:r>
          </w:p>
        </w:tc>
        <w:tc>
          <w:tcPr>
            <w:tcW w:type="dxa" w:w="2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mbria" w:cs="Cambria" w:eastAsia="Cambria" w:hAnsi="Cambria"/>
                <w:i/>
                <w:iCs/>
                <w:color w:val="000000"/>
                <w:sz w:val="20"/>
                <w:szCs w:val="20"/>
              </w:rPr>
              <w:t xml:space="preserve">„Immer bleibt alles an mir hängen.“</w:t>
            </w:r>
          </w:p>
        </w:tc>
        <w:tc>
          <w:tcPr>
            <w:tcW w:type="dxa" w:w="40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19"/>
                <w:szCs w:val="19"/>
              </w:rPr>
              <w:t xml:space="preserve">Verallgemeinerung („immer“). Lenas eigentliches Gefühl (überfordert, allein gelassen) kommt nur als Anklage an. Interpunktion: Beide sehen sich als diejenigen, die nur reagieren.</w:t>
            </w:r>
          </w:p>
        </w:tc>
        <w:tc>
          <w:tcPr>
            <w:tcW w:type="dxa" w:w="2500"/>
            <w:tcBorders>
              <w:top w:val="single" w:color="B9C6E8" w:sz="6"/>
              <w:left w:val="single" w:color="B9C6E8" w:sz="6"/>
              <w:bottom w:val="single" w:color="B9C6E8" w:sz="6"/>
              <w:right w:val="single" w:color="B9C6E8" w:sz="6"/>
            </w:tcBorders>
            <w:shd w:fill="EAF0FA" w:color="auto" w:val="clear"/>
            <w:tcMar>
              <w:top w:type="dxa" w:w="60"/>
              <w:left w:type="dxa" w:w="100"/>
              <w:bottom w:type="dxa" w:w="60"/>
              <w:right w:type="dxa" w:w="100"/>
            </w:tcMar>
            <w:vAlign w:val="center"/>
          </w:tcPr>
          <w:p>
            <w:pPr>
              <w:spacing w:after="0" w:before="0"/>
            </w:pPr>
            <w:r>
              <w:rPr>
                <w:rFonts w:ascii="Calibri" w:cs="Calibri" w:eastAsia="Calibri" w:hAnsi="Calibri"/>
                <w:b/>
                <w:bCs/>
                <w:color w:val="1E2761"/>
                <w:sz w:val="19"/>
                <w:szCs w:val="19"/>
              </w:rPr>
              <w:t xml:space="preserve">A Ich-Botschaft, C Bedürfnis nennen</w:t>
            </w:r>
          </w:p>
        </w:tc>
      </w:tr>
      <w:tr>
        <w:trPr>
          <w:cantSplit/>
          <w:trHeight w:val="1100" w:hRule="atLeast"/>
        </w:trPr>
        <w:tc>
          <w:tcPr>
            <w:tcW w:type="dxa" w:w="8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D9534F"/>
                <w:sz w:val="22"/>
                <w:szCs w:val="22"/>
              </w:rPr>
              <w:t xml:space="preserve">7</w:t>
            </w:r>
          </w:p>
        </w:tc>
        <w:tc>
          <w:tcPr>
            <w:tcW w:type="dxa" w:w="2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mbria" w:cs="Cambria" w:eastAsia="Cambria" w:hAnsi="Cambria"/>
                <w:i/>
                <w:iCs/>
                <w:color w:val="000000"/>
                <w:sz w:val="20"/>
                <w:szCs w:val="20"/>
              </w:rPr>
              <w:t xml:space="preserve">„Super. Genau das hab ich von dir erwartet.“ (verdreht die Augen)</w:t>
            </w:r>
          </w:p>
        </w:tc>
        <w:tc>
          <w:tcPr>
            <w:tcW w:type="dxa" w:w="40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19"/>
                <w:szCs w:val="19"/>
              </w:rPr>
              <w:t xml:space="preserve">Ironie: Die Worte sind positiv, Tonfall und Mimik negativ. Das ist eine inkongruente Botschaft (digitale und analoge Ebene widersprechen sich). Zugleich wertet Lena Tom als Person ab.</w:t>
            </w:r>
          </w:p>
        </w:tc>
        <w:tc>
          <w:tcPr>
            <w:tcW w:type="dxa" w:w="2500"/>
            <w:tcBorders>
              <w:top w:val="single" w:color="B9C6E8" w:sz="6"/>
              <w:left w:val="single" w:color="B9C6E8" w:sz="6"/>
              <w:bottom w:val="single" w:color="B9C6E8" w:sz="6"/>
              <w:right w:val="single" w:color="B9C6E8" w:sz="6"/>
            </w:tcBorders>
            <w:shd w:fill="EAF0FA" w:color="auto" w:val="clear"/>
            <w:tcMar>
              <w:top w:type="dxa" w:w="60"/>
              <w:left w:type="dxa" w:w="100"/>
              <w:bottom w:type="dxa" w:w="60"/>
              <w:right w:type="dxa" w:w="100"/>
            </w:tcMar>
            <w:vAlign w:val="center"/>
          </w:tcPr>
          <w:p>
            <w:pPr>
              <w:spacing w:after="0" w:before="0"/>
            </w:pPr>
            <w:r>
              <w:rPr>
                <w:rFonts w:ascii="Calibri" w:cs="Calibri" w:eastAsia="Calibri" w:hAnsi="Calibri"/>
                <w:b/>
                <w:bCs/>
                <w:color w:val="1E2761"/>
                <w:sz w:val="19"/>
                <w:szCs w:val="19"/>
              </w:rPr>
              <w:t xml:space="preserve">D Metakommunikation: Streit benennen, gemeinsames Ziel</w:t>
            </w:r>
          </w:p>
        </w:tc>
      </w:tr>
      <w:tr>
        <w:trPr>
          <w:cantSplit/>
          <w:trHeight w:val="1100" w:hRule="atLeast"/>
        </w:trPr>
        <w:tc>
          <w:tcPr>
            <w:tcW w:type="dxa" w:w="8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D9534F"/>
                <w:sz w:val="22"/>
                <w:szCs w:val="22"/>
              </w:rPr>
              <w:t xml:space="preserve">8–9</w:t>
            </w:r>
          </w:p>
        </w:tc>
        <w:tc>
          <w:tcPr>
            <w:tcW w:type="dxa" w:w="2900"/>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mbria" w:cs="Cambria" w:eastAsia="Cambria" w:hAnsi="Cambria"/>
                <w:i/>
                <w:iCs/>
                <w:color w:val="000000"/>
                <w:sz w:val="20"/>
                <w:szCs w:val="20"/>
              </w:rPr>
              <w:t xml:space="preserve">Tom schaut aufs Handy. Lena: „Ist ja auch wichtiger.“</w:t>
            </w:r>
          </w:p>
        </w:tc>
        <w:tc>
          <w:tcPr>
            <w:tcW w:type="dxa" w:w="40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libri" w:cs="Calibri" w:eastAsia="Calibri" w:hAnsi="Calibri"/>
                <w:color w:val="000000"/>
                <w:sz w:val="19"/>
                <w:szCs w:val="19"/>
              </w:rPr>
              <w:t xml:space="preserve">„Man kann nicht nicht kommunizieren.“ Toms Rückzug ist auch eine Botschaft. Lena deutet ihn als Desinteresse, Tom meint vermutlich: „Ich will nicht mehr streiten.“ Danach ist das Gespräch kaum noch zu retten.</w:t>
            </w:r>
          </w:p>
        </w:tc>
        <w:tc>
          <w:tcPr>
            <w:tcW w:type="dxa" w:w="2500"/>
            <w:tcBorders>
              <w:top w:val="single" w:color="B9C6E8" w:sz="6"/>
              <w:left w:val="single" w:color="B9C6E8" w:sz="6"/>
              <w:bottom w:val="single" w:color="B9C6E8" w:sz="6"/>
              <w:right w:val="single" w:color="B9C6E8" w:sz="6"/>
            </w:tcBorders>
            <w:shd w:fill="EAF0FA" w:color="auto" w:val="clear"/>
            <w:tcMar>
              <w:top w:type="dxa" w:w="60"/>
              <w:left w:type="dxa" w:w="100"/>
              <w:bottom w:type="dxa" w:w="60"/>
              <w:right w:type="dxa" w:w="100"/>
            </w:tcMar>
            <w:vAlign w:val="center"/>
          </w:tcPr>
          <w:p>
            <w:pPr>
              <w:spacing w:after="0" w:before="0"/>
            </w:pPr>
            <w:r>
              <w:rPr>
                <w:rFonts w:ascii="Calibri" w:cs="Calibri" w:eastAsia="Calibri" w:hAnsi="Calibri"/>
                <w:b/>
                <w:bCs/>
                <w:color w:val="1E2761"/>
                <w:sz w:val="19"/>
                <w:szCs w:val="19"/>
              </w:rPr>
              <w:t xml:space="preserve">D „Wie meinst du das?“, B Gefühl ansprechen</w:t>
            </w:r>
          </w:p>
        </w:tc>
      </w:tr>
    </w:tbl>
    <w:p>
      <w:pPr>
        <w:spacing w:after="10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none" w:color="FFFFFF" w:sz="0"/>
              <w:left w:val="none" w:color="FFFFFF" w:sz="0"/>
              <w:bottom w:val="none" w:color="FFFFFF" w:sz="0"/>
              <w:right w:val="none" w:color="FFFFFF" w:sz="0"/>
            </w:tcBorders>
            <w:shd w:fill="EAF0FA" w:color="auto" w:val="clear"/>
            <w:tcMar>
              <w:top w:type="dxa" w:w="120"/>
              <w:left w:type="dxa" w:w="100"/>
              <w:bottom w:type="dxa" w:w="120"/>
              <w:right w:type="dxa" w:w="100"/>
            </w:tcMar>
            <w:vAlign w:val="center"/>
          </w:tcPr>
          <w:p>
            <w:pPr>
              <w:spacing w:after="40" w:before="0"/>
            </w:pPr>
            <w:r>
              <w:rPr>
                <w:rFonts w:ascii="Calibri" w:cs="Calibri" w:eastAsia="Calibri" w:hAnsi="Calibri"/>
                <w:b/>
                <w:bCs/>
                <w:color w:val="D9534F"/>
                <w:sz w:val="22"/>
                <w:szCs w:val="22"/>
              </w:rPr>
              <w:t xml:space="preserve">★ Warum Zeile 3?  </w:t>
            </w:r>
            <w:r>
              <w:rPr>
                <w:rFonts w:ascii="Calibri" w:cs="Calibri" w:eastAsia="Calibri" w:hAnsi="Calibri"/>
                <w:color w:val="000000"/>
                <w:sz w:val="20"/>
                <w:szCs w:val="20"/>
              </w:rPr>
              <w:t xml:space="preserve">Hier ist noch nichts passiert, das man zurücknehmen müsste. Lena will eigentlich nur Sicherheit für morgen. Hätte sie das als Ich-Botschaft gesagt, wäre Tom gar nicht in die Verteidigung gegangen. Jeder spätere Kipppunkt baut auf dem vorherigen auf – je später man eingreift, desto schwerer wird es.</w:t>
            </w:r>
          </w:p>
        </w:tc>
      </w:tr>
    </w:tbl>
    <w:p>
      <w:pPr>
        <w:pageBreakBefore/>
        <w:spacing w:after="20" w:before="0"/>
      </w:pPr>
      <w:r>
        <w:rPr>
          <w:rFonts w:ascii="Calibri" w:cs="Calibri" w:eastAsia="Calibri" w:hAnsi="Calibri"/>
          <w:b/>
          <w:bCs/>
          <w:color w:val="5B6B8C"/>
          <w:sz w:val="18"/>
          <w:szCs w:val="18"/>
        </w:rPr>
        <w:t xml:space="preserve">ERWARTUNGSHORIZONT · TECHNIK FÜR TECHNIK (AUFGABE 3) UND MINI-TEST</w:t>
      </w:r>
    </w:p>
    <w:p>
      <w:pPr>
        <w:spacing w:after="60" w:before="0"/>
      </w:pPr>
      <w:r>
        <w:rPr>
          <w:rFonts w:ascii="Cambria" w:cs="Cambria" w:eastAsia="Cambria" w:hAnsi="Cambria"/>
          <w:b/>
          <w:bCs/>
          <w:color w:val="1E2761"/>
          <w:sz w:val="40"/>
          <w:szCs w:val="40"/>
        </w:rPr>
        <w:t xml:space="preserve">So können die Kipppunkte klingen</w:t>
      </w:r>
    </w:p>
    <w:p>
      <w:pPr>
        <w:spacing w:after="120" w:before="0"/>
      </w:pPr>
      <w:r>
        <w:rPr>
          <w:rFonts w:ascii="Calibri" w:cs="Calibri" w:eastAsia="Calibri" w:hAnsi="Calibri"/>
          <w:i/>
          <w:iCs/>
          <w:color w:val="5B6B8C"/>
          <w:sz w:val="20"/>
          <w:szCs w:val="20"/>
        </w:rPr>
        <w:t xml:space="preserve">Mögliche Lösungen – Schülerlösungen dürfen ganz anders klingen. Entscheidend ist, dass die Merkmale der Technik erkennbar sind.</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5006"/>
        <w:gridCol w:w="2400"/>
      </w:tblGrid>
      <w:tr>
        <w:trPr>
          <w:cantSplit/>
          <w:trHeight w:val="440" w:hRule="atLeast"/>
        </w:trPr>
        <w:tc>
          <w:tcPr>
            <w:tcW w:type="dxa" w:w="9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Zeile</w:t>
            </w:r>
          </w:p>
        </w:tc>
        <w:tc>
          <w:tcPr>
            <w:tcW w:type="dxa" w:w="19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Technik</w:t>
            </w:r>
          </w:p>
        </w:tc>
        <w:tc>
          <w:tcPr>
            <w:tcW w:type="dxa" w:w="5006"/>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Mögliche Lösung</w:t>
            </w:r>
          </w:p>
        </w:tc>
        <w:tc>
          <w:tcPr>
            <w:tcW w:type="dxa" w:w="2400"/>
            <w:tcBorders>
              <w:top w:val="single" w:color="B9C6E8" w:sz="6"/>
              <w:left w:val="single" w:color="B9C6E8" w:sz="6"/>
              <w:bottom w:val="single" w:color="B9C6E8" w:sz="6"/>
              <w:right w:val="single" w:color="B9C6E8" w:sz="6"/>
            </w:tcBorders>
            <w:shd w:fill="1E2761"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FFFFFF"/>
                <w:sz w:val="20"/>
                <w:szCs w:val="20"/>
              </w:rPr>
              <w:t xml:space="preserve">Daran erkennt man’s</w:t>
            </w:r>
          </w:p>
        </w:tc>
      </w:tr>
      <w:tr>
        <w:trPr>
          <w:cantSplit/>
          <w:trHeight w:val="1000" w:hRule="atLeast"/>
        </w:trPr>
        <w:tc>
          <w:tcPr>
            <w:tcW w:type="dxa" w:w="9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D9534F"/>
                <w:sz w:val="22"/>
                <w:szCs w:val="22"/>
              </w:rPr>
              <w:t xml:space="preserve">3</w:t>
            </w:r>
          </w:p>
        </w:tc>
        <w:tc>
          <w:tcPr>
            <w:tcW w:type="dxa" w:w="19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mbria" w:cs="Cambria" w:eastAsia="Cambria" w:hAnsi="Cambria"/>
                <w:b/>
                <w:bCs/>
                <w:color w:val="3F7CC4"/>
                <w:sz w:val="30"/>
                <w:szCs w:val="30"/>
              </w:rPr>
              <w:t xml:space="preserve">A</w:t>
            </w:r>
          </w:p>
          <w:p>
            <w:pPr>
              <w:spacing w:after="0" w:before="0"/>
            </w:pPr>
            <w:r>
              <w:rPr>
                <w:rFonts w:ascii="Calibri" w:cs="Calibri" w:eastAsia="Calibri" w:hAnsi="Calibri"/>
                <w:b/>
                <w:bCs/>
                <w:color w:val="3F7CC4"/>
                <w:sz w:val="18"/>
                <w:szCs w:val="18"/>
              </w:rPr>
              <w:t xml:space="preserve">Ich-Botschaft</w:t>
            </w:r>
          </w:p>
        </w:tc>
        <w:tc>
          <w:tcPr>
            <w:tcW w:type="dxa" w:w="50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mbria" w:cs="Cambria" w:eastAsia="Cambria" w:hAnsi="Cambria"/>
                <w:color w:val="000000"/>
                <w:sz w:val="20"/>
                <w:szCs w:val="20"/>
              </w:rPr>
              <w:t xml:space="preserve">„Heute Abend? Ehrlich gesagt macht mich das nervös, weil wir morgen schon dran sind und ich die Folien vorher einmal sehen wollte.“</w:t>
            </w:r>
          </w:p>
        </w:tc>
        <w:tc>
          <w:tcPr>
            <w:tcW w:type="dxa" w:w="2400"/>
            <w:tcBorders>
              <w:top w:val="single" w:color="B9C6E8" w:sz="6"/>
              <w:left w:val="single" w:color="B9C6E8" w:sz="6"/>
              <w:bottom w:val="single" w:color="B9C6E8" w:sz="6"/>
              <w:right w:val="single" w:color="B9C6E8" w:sz="6"/>
            </w:tcBorders>
            <w:shd w:fill="EAF0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Ich-Form · Gefühl (nervös) · Grund · kein Vorwurf</w:t>
            </w:r>
          </w:p>
        </w:tc>
      </w:tr>
      <w:tr>
        <w:trPr>
          <w:cantSplit/>
          <w:trHeight w:val="1000" w:hRule="atLeast"/>
        </w:trPr>
        <w:tc>
          <w:tcPr>
            <w:tcW w:type="dxa" w:w="9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D9534F"/>
                <w:sz w:val="22"/>
                <w:szCs w:val="22"/>
              </w:rPr>
              <w:t xml:space="preserve">4</w:t>
            </w:r>
          </w:p>
        </w:tc>
        <w:tc>
          <w:tcPr>
            <w:tcW w:type="dxa" w:w="19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mbria" w:cs="Cambria" w:eastAsia="Cambria" w:hAnsi="Cambria"/>
                <w:b/>
                <w:bCs/>
                <w:color w:val="2E9E6B"/>
                <w:sz w:val="30"/>
                <w:szCs w:val="30"/>
              </w:rPr>
              <w:t xml:space="preserve">B</w:t>
            </w:r>
          </w:p>
          <w:p>
            <w:pPr>
              <w:spacing w:after="0" w:before="0"/>
            </w:pPr>
            <w:r>
              <w:rPr>
                <w:rFonts w:ascii="Calibri" w:cs="Calibri" w:eastAsia="Calibri" w:hAnsi="Calibri"/>
                <w:b/>
                <w:bCs/>
                <w:color w:val="2E9E6B"/>
                <w:sz w:val="18"/>
                <w:szCs w:val="18"/>
              </w:rPr>
              <w:t xml:space="preserve">Empathie</w:t>
            </w:r>
          </w:p>
        </w:tc>
        <w:tc>
          <w:tcPr>
            <w:tcW w:type="dxa" w:w="50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mbria" w:cs="Cambria" w:eastAsia="Cambria" w:hAnsi="Cambria"/>
                <w:color w:val="000000"/>
                <w:sz w:val="20"/>
                <w:szCs w:val="20"/>
              </w:rPr>
              <w:t xml:space="preserve">„Du bist gestresst, weil morgen alles klappen soll, oder? Das verstehe ich. Ich hab’s mit dem Training unterschätzt.“</w:t>
            </w:r>
          </w:p>
        </w:tc>
        <w:tc>
          <w:tcPr>
            <w:tcW w:type="dxa" w:w="2400"/>
            <w:tcBorders>
              <w:top w:val="single" w:color="B9C6E8" w:sz="6"/>
              <w:left w:val="single" w:color="B9C6E8" w:sz="6"/>
              <w:bottom w:val="single" w:color="B9C6E8" w:sz="6"/>
              <w:right w:val="single" w:color="B9C6E8" w:sz="6"/>
            </w:tcBorders>
            <w:shd w:fill="EAF0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Gefühl des anderen benannt · erst verstehen, dann erklären · kein Gegenangriff</w:t>
            </w:r>
          </w:p>
        </w:tc>
      </w:tr>
      <w:tr>
        <w:trPr>
          <w:cantSplit/>
          <w:trHeight w:val="1000" w:hRule="atLeast"/>
        </w:trPr>
        <w:tc>
          <w:tcPr>
            <w:tcW w:type="dxa" w:w="9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D9534F"/>
                <w:sz w:val="22"/>
                <w:szCs w:val="22"/>
              </w:rPr>
              <w:t xml:space="preserve">5</w:t>
            </w:r>
          </w:p>
        </w:tc>
        <w:tc>
          <w:tcPr>
            <w:tcW w:type="dxa" w:w="19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mbria" w:cs="Cambria" w:eastAsia="Cambria" w:hAnsi="Cambria"/>
                <w:b/>
                <w:bCs/>
                <w:color w:val="E8A33D"/>
                <w:sz w:val="30"/>
                <w:szCs w:val="30"/>
              </w:rPr>
              <w:t xml:space="preserve">C</w:t>
            </w:r>
          </w:p>
          <w:p>
            <w:pPr>
              <w:spacing w:after="0" w:before="0"/>
            </w:pPr>
            <w:r>
              <w:rPr>
                <w:rFonts w:ascii="Calibri" w:cs="Calibri" w:eastAsia="Calibri" w:hAnsi="Calibri"/>
                <w:b/>
                <w:bCs/>
                <w:color w:val="E8A33D"/>
                <w:sz w:val="18"/>
                <w:szCs w:val="18"/>
              </w:rPr>
              <w:t xml:space="preserve">Wunsch &amp; Bitte</w:t>
            </w:r>
          </w:p>
        </w:tc>
        <w:tc>
          <w:tcPr>
            <w:tcW w:type="dxa" w:w="50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mbria" w:cs="Cambria" w:eastAsia="Cambria" w:hAnsi="Cambria"/>
                <w:color w:val="000000"/>
                <w:sz w:val="20"/>
                <w:szCs w:val="20"/>
              </w:rPr>
              <w:t xml:space="preserve">„Mir ist wichtig, dass wir morgen sicher sind. Kannst du mir die Folien bis 19 Uhr schicken, damit ich drüberschauen kann?“</w:t>
            </w:r>
          </w:p>
        </w:tc>
        <w:tc>
          <w:tcPr>
            <w:tcW w:type="dxa" w:w="2400"/>
            <w:tcBorders>
              <w:top w:val="single" w:color="B9C6E8" w:sz="6"/>
              <w:left w:val="single" w:color="B9C6E8" w:sz="6"/>
              <w:bottom w:val="single" w:color="B9C6E8" w:sz="6"/>
              <w:right w:val="single" w:color="B9C6E8" w:sz="6"/>
            </w:tcBorders>
            <w:shd w:fill="EAF0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Bedürfnis statt „immer“ · konkret: wer, was, bis wann · als Frage</w:t>
            </w:r>
          </w:p>
        </w:tc>
      </w:tr>
      <w:tr>
        <w:trPr>
          <w:cantSplit/>
          <w:trHeight w:val="1000" w:hRule="atLeast"/>
        </w:trPr>
        <w:tc>
          <w:tcPr>
            <w:tcW w:type="dxa" w:w="9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jc w:val="center"/>
            </w:pPr>
            <w:r>
              <w:rPr>
                <w:rFonts w:ascii="Calibri" w:cs="Calibri" w:eastAsia="Calibri" w:hAnsi="Calibri"/>
                <w:b/>
                <w:bCs/>
                <w:color w:val="D9534F"/>
                <w:sz w:val="22"/>
                <w:szCs w:val="22"/>
              </w:rPr>
              <w:t xml:space="preserve">7</w:t>
            </w:r>
          </w:p>
        </w:tc>
        <w:tc>
          <w:tcPr>
            <w:tcW w:type="dxa" w:w="1900"/>
            <w:tcBorders>
              <w:top w:val="single" w:color="B9C6E8" w:sz="6"/>
              <w:left w:val="single" w:color="B9C6E8" w:sz="6"/>
              <w:bottom w:val="single" w:color="B9C6E8" w:sz="6"/>
              <w:right w:val="single" w:color="B9C6E8" w:sz="6"/>
            </w:tcBorders>
            <w:shd w:fill="F4F7FD" w:color="auto" w:val="clear"/>
            <w:tcMar>
              <w:top w:type="dxa" w:w="60"/>
              <w:left w:type="dxa" w:w="100"/>
              <w:bottom w:type="dxa" w:w="60"/>
              <w:right w:type="dxa" w:w="100"/>
            </w:tcMar>
            <w:vAlign w:val="center"/>
          </w:tcPr>
          <w:p>
            <w:pPr>
              <w:spacing w:after="0" w:before="0"/>
            </w:pPr>
            <w:r>
              <w:rPr>
                <w:rFonts w:ascii="Cambria" w:cs="Cambria" w:eastAsia="Cambria" w:hAnsi="Cambria"/>
                <w:b/>
                <w:bCs/>
                <w:color w:val="8E5BB5"/>
                <w:sz w:val="30"/>
                <w:szCs w:val="30"/>
              </w:rPr>
              <w:t xml:space="preserve">D</w:t>
            </w:r>
          </w:p>
          <w:p>
            <w:pPr>
              <w:spacing w:after="0" w:before="0"/>
            </w:pPr>
            <w:r>
              <w:rPr>
                <w:rFonts w:ascii="Calibri" w:cs="Calibri" w:eastAsia="Calibri" w:hAnsi="Calibri"/>
                <w:b/>
                <w:bCs/>
                <w:color w:val="8E5BB5"/>
                <w:sz w:val="18"/>
                <w:szCs w:val="18"/>
              </w:rPr>
              <w:t xml:space="preserve">Metakommunikation</w:t>
            </w:r>
          </w:p>
        </w:tc>
        <w:tc>
          <w:tcPr>
            <w:tcW w:type="dxa" w:w="5006"/>
            <w:tcBorders>
              <w:top w:val="single" w:color="B9C6E8" w:sz="6"/>
              <w:left w:val="single" w:color="B9C6E8" w:sz="6"/>
              <w:bottom w:val="single" w:color="B9C6E8" w:sz="6"/>
              <w:right w:val="single" w:color="B9C6E8" w:sz="6"/>
            </w:tcBorders>
            <w:tcMar>
              <w:top w:type="dxa" w:w="60"/>
              <w:left w:type="dxa" w:w="100"/>
              <w:bottom w:type="dxa" w:w="60"/>
              <w:right w:type="dxa" w:w="100"/>
            </w:tcMar>
            <w:vAlign w:val="center"/>
          </w:tcPr>
          <w:p>
            <w:pPr>
              <w:spacing w:after="0" w:before="0"/>
            </w:pPr>
            <w:r>
              <w:rPr>
                <w:rFonts w:ascii="Cambria" w:cs="Cambria" w:eastAsia="Cambria" w:hAnsi="Cambria"/>
                <w:color w:val="000000"/>
                <w:sz w:val="20"/>
                <w:szCs w:val="20"/>
              </w:rPr>
              <w:t xml:space="preserve">„Moment. Wir werfen uns gerade nur noch Sachen an den Kopf. Eigentlich wollen wir doch beide ein gutes Referat, oder?“</w:t>
            </w:r>
          </w:p>
        </w:tc>
        <w:tc>
          <w:tcPr>
            <w:tcW w:type="dxa" w:w="2400"/>
            <w:tcBorders>
              <w:top w:val="single" w:color="B9C6E8" w:sz="6"/>
              <w:left w:val="single" w:color="B9C6E8" w:sz="6"/>
              <w:bottom w:val="single" w:color="B9C6E8" w:sz="6"/>
              <w:right w:val="single" w:color="B9C6E8" w:sz="6"/>
            </w:tcBorders>
            <w:shd w:fill="EAF0FA" w:color="auto" w:val="clear"/>
            <w:tcMar>
              <w:top w:type="dxa" w:w="60"/>
              <w:left w:type="dxa" w:w="100"/>
              <w:bottom w:type="dxa" w:w="60"/>
              <w:right w:type="dxa" w:w="100"/>
            </w:tcMar>
            <w:vAlign w:val="center"/>
          </w:tcPr>
          <w:p>
            <w:pPr>
              <w:spacing w:after="0" w:before="0"/>
            </w:pPr>
            <w:r>
              <w:rPr>
                <w:rFonts w:ascii="Calibri" w:cs="Calibri" w:eastAsia="Calibri" w:hAnsi="Calibri"/>
                <w:color w:val="000000"/>
                <w:sz w:val="18"/>
                <w:szCs w:val="18"/>
              </w:rPr>
              <w:t xml:space="preserve">benennt das Gespräch selbst · kein neuer Vorwurf · gemeinsames Ziel</w:t>
            </w:r>
          </w:p>
        </w:tc>
      </w:tr>
    </w:tbl>
    <w:p>
      <w:pPr>
        <w:keepNext/>
        <w:spacing w:after="80" w:before="140"/>
      </w:pPr>
      <w:r>
        <w:rPr>
          <w:rFonts w:ascii="Cambria" w:cs="Cambria" w:eastAsia="Cambria" w:hAnsi="Cambria"/>
          <w:b/>
          <w:bCs/>
          <w:color w:val="1E2761"/>
          <w:sz w:val="26"/>
          <w:szCs w:val="26"/>
        </w:rPr>
        <w:t xml:space="preserve">✓  </w:t>
      </w:r>
      <w:r>
        <w:rPr>
          <w:rFonts w:ascii="Cambria" w:cs="Cambria" w:eastAsia="Cambria" w:hAnsi="Cambria"/>
          <w:b/>
          <w:bCs/>
          <w:color w:val="1E2761"/>
          <w:sz w:val="26"/>
          <w:szCs w:val="26"/>
        </w:rPr>
        <w:t xml:space="preserve">Erwartungshorizont Mini-Test (Exit-Ticket)</w:t>
      </w:r>
    </w:p>
    <w:p>
      <w:pPr>
        <w:spacing w:after="60" w:before="0"/>
      </w:pPr>
      <w:r>
        <w:rPr>
          <w:rFonts w:ascii="Calibri" w:cs="Calibri" w:eastAsia="Calibri" w:hAnsi="Calibri"/>
          <w:b/>
          <w:bCs/>
          <w:color w:val="000000"/>
          <w:sz w:val="20"/>
          <w:szCs w:val="20"/>
        </w:rPr>
        <w:t xml:space="preserve">Dialog: </w:t>
      </w:r>
      <w:r>
        <w:rPr>
          <w:rFonts w:ascii="Calibri" w:cs="Calibri" w:eastAsia="Calibri" w:hAnsi="Calibri"/>
          <w:color w:val="000000"/>
          <w:sz w:val="20"/>
          <w:szCs w:val="20"/>
        </w:rPr>
        <w:t xml:space="preserve">Mia fragt, ob sie auf eine Party darf. Zeile 4, Vater: „Du bist doch sowieso immer die Letzte, die nach Hause kommt.“</w:t>
      </w:r>
    </w:p>
    <w:p>
      <w:pPr>
        <w:spacing w:after="60" w:before="0"/>
      </w:pPr>
      <w:r>
        <w:rPr>
          <w:rFonts w:ascii="Calibri" w:cs="Calibri" w:eastAsia="Calibri" w:hAnsi="Calibri"/>
          <w:b/>
          <w:bCs/>
          <w:color w:val="D9534F"/>
          <w:sz w:val="22"/>
          <w:szCs w:val="22"/>
        </w:rPr>
        <w:t xml:space="preserve">1  </w:t>
      </w:r>
      <w:r>
        <w:rPr>
          <w:rFonts w:ascii="Calibri" w:cs="Calibri" w:eastAsia="Calibri" w:hAnsi="Calibri"/>
          <w:color w:val="000000"/>
          <w:sz w:val="20"/>
          <w:szCs w:val="20"/>
        </w:rPr>
        <w:t xml:space="preserve">Zeile 4. Du-Botschaft mit Verallgemeinerung („immer“); die Sorge des Vaters (Selbstkundgabe) kommt als Vorwurf an. Mia hört mit dem Beziehungsohr: „Du vertraust mir nicht“ – Zeile 5 ist die Gegenreaktion (symmetrische Eskalation).</w:t>
      </w:r>
    </w:p>
    <w:p>
      <w:pPr>
        <w:spacing w:after="60" w:before="0"/>
      </w:pPr>
      <w:r>
        <w:rPr>
          <w:rFonts w:ascii="Calibri" w:cs="Calibri" w:eastAsia="Calibri" w:hAnsi="Calibri"/>
          <w:b/>
          <w:bCs/>
          <w:color w:val="D9534F"/>
          <w:sz w:val="22"/>
          <w:szCs w:val="22"/>
        </w:rPr>
        <w:t xml:space="preserve">2  </w:t>
      </w:r>
      <w:r>
        <w:rPr>
          <w:rFonts w:ascii="Calibri" w:cs="Calibri" w:eastAsia="Calibri" w:hAnsi="Calibri"/>
          <w:color w:val="000000"/>
          <w:sz w:val="20"/>
          <w:szCs w:val="20"/>
        </w:rPr>
        <w:t xml:space="preserve">z. B. „Ich mache mir Sorgen, wenn du nachts allein unterwegs bist (A). Kannst du mir schreiben, wenn du losfährst, und spätestens um eins zu Hause sein? (C)“ – oder mit Empathie: „Du freust dich total auf die Party, oder? (B) …“</w:t>
      </w:r>
    </w:p>
    <w:p>
      <w:pPr>
        <w:spacing w:after="0" w:before="0"/>
      </w:pPr>
      <w:r>
        <w:rPr>
          <w:rFonts w:ascii="Calibri" w:cs="Calibri" w:eastAsia="Calibri" w:hAnsi="Calibri"/>
          <w:b/>
          <w:bCs/>
          <w:color w:val="1E2761"/>
          <w:sz w:val="20"/>
          <w:szCs w:val="20"/>
        </w:rPr>
        <w:t xml:space="preserve">Bewertung: </w:t>
      </w:r>
      <w:r>
        <w:rPr>
          <w:rFonts w:ascii="Calibri" w:cs="Calibri" w:eastAsia="Calibri" w:hAnsi="Calibri"/>
          <w:color w:val="000000"/>
          <w:sz w:val="20"/>
          <w:szCs w:val="20"/>
        </w:rPr>
        <w:t xml:space="preserve">Kipppunkt richtig + begründet · zwei Techniken erkennbar und richtig benannt · kein neuer Vorwurf, kein „immer“/„nie“.</w:t>
      </w:r>
    </w:p>
    <w:sectPr>
      <w:footerReference w:type="default" r:id="rId7"/>
      <w:pgSz w:w="11906" w:h="16838" w:orient="portrait"/>
      <w:pgMar w:top="900" w:right="850" w:bottom="800" w:left="850"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B8C"/>
        <w:sz w:val="16"/>
        <w:szCs w:val="16"/>
      </w:rPr>
      <w:t xml:space="preserve">Lehrermaterial &amp; Lösungen · Seite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2026-09-27T16:40:56.415Z</dcterms:created>
  <dcterms:modified xsi:type="dcterms:W3CDTF">2026-09-27T16:40:56.415Z</dcterms:modified>
</cp:coreProperties>
</file>

<file path=docProps/custom.xml><?xml version="1.0" encoding="utf-8"?>
<Properties xmlns="http://schemas.openxmlformats.org/officeDocument/2006/custom-properties" xmlns:vt="http://schemas.openxmlformats.org/officeDocument/2006/docPropsVTypes"/>
</file>