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14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GPIO27 (TX2) ──► RX1 (19) │                               │</w:t>
      </w:r>
      <w:r>
        <w:br/>
      </w:r>
      <w:r>
        <w:t xml:space="preserve"> │ pantalla ST7789   (HSPI)  │ GPIO22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GPIO22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GPIO27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GPIO27 — TX2</w:t>
            </w:r>
          </w:p>
        </w:tc>
        <w:tc>
          <w:tcPr>
            <w:tcW w:w="4680" w:type="dxa"/>
          </w:tcPr>
          <w:p>
            <w:pPr>
              <w:pStyle w:val="TablaCelda"/>
            </w:pPr>
            <w:r>
              <w:t xml:space="preserve">pin 19 — RX1</w:t>
            </w:r>
          </w:p>
        </w:tc>
      </w:tr>
      <w:tr>
        <w:tc>
          <w:tcPr>
            <w:tcW w:w="4680" w:type="dxa"/>
          </w:tcPr>
          <w:p>
            <w:pPr>
              <w:pStyle w:val="TablaCelda"/>
            </w:pPr>
            <w:r>
              <w:rPr>
                <w:b/>
              </w:rPr>
              <w:t xml:space="preserve">GPIO22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GPIO22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TFT — retroiluminación / INT del táctil</w:t>
            </w:r>
          </w:p>
        </w:tc>
        <w:tc>
          <w:tcPr>
            <w:tcW w:w="2340" w:type="dxa"/>
          </w:tcPr>
          <w:p>
            <w:pPr>
              <w:pStyle w:val="TablaCelda"/>
            </w:pPr>
            <w:r>
              <w:t xml:space="preserve">—</w:t>
            </w:r>
          </w:p>
        </w:tc>
        <w:tc>
          <w:tcPr>
            <w:tcW w:w="2340" w:type="dxa"/>
          </w:tcPr>
          <w:p>
            <w:pPr>
              <w:pStyle w:val="TablaCelda"/>
            </w:pPr>
            <w:r>
              <w:t xml:space="preserve">El firmware asigna este GPIO dos veces (</w:t>
            </w:r>
            <w:r>
              <w:rPr>
                <w:rFonts w:ascii="Consolas" w:hAnsi="Consolas"/>
                <w:sz w:val="19"/>
              </w:rPr>
              <w:t xml:space="preserve">TFT_BL</w:t>
            </w:r>
            <w:r>
              <w:t xml:space="preserve"> y </w:t>
            </w:r>
            <w:r>
              <w:rPr>
                <w:rFonts w:ascii="Consolas" w:hAnsi="Consolas"/>
                <w:sz w:val="19"/>
              </w:rPr>
              <w:t xml:space="preserve">CST816S_INT</w:t>
            </w:r>
            <w:r>
              <w:t xml:space="preserve">). El INT no se utiliza, ya que el táctil se lee por sondeo; si la retroiluminación fallara tras un cambio de placa, es el primer punto a revisar.</w:t>
            </w:r>
          </w:p>
        </w:tc>
      </w:tr>
      <w:tr>
        <w:tc>
          <w:tcPr>
            <w:tcW w:w="2340" w:type="dxa"/>
          </w:tcPr>
          <w:p>
            <w:pPr>
              <w:pStyle w:val="TablaCelda"/>
            </w:pPr>
            <w:r>
              <w:rPr>
                <w:b/>
              </w:rPr>
              <w:t xml:space="preserve">22</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Entrada de 3,3 V: ver 3.3.</w:t>
            </w:r>
          </w:p>
        </w:tc>
      </w:tr>
      <w:tr>
        <w:tc>
          <w:tcPr>
            <w:tcW w:w="2340" w:type="dxa"/>
          </w:tcPr>
          <w:p>
            <w:pPr>
              <w:pStyle w:val="TablaCelda"/>
            </w:pPr>
            <w:r>
              <w:rPr>
                <w:b/>
              </w:rPr>
              <w:t xml:space="preserve">27</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GPIO22 (ESP32); y GPIO27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seis listas desplegables. </w:t>
      </w:r>
      <w:r>
        <w:rPr>
          <w:i/>
        </w:rPr>
        <w:t xml:space="preserve">Guardar</w:t>
      </w:r>
      <w:r>
        <w:t xml:space="preserve"> aplica los cambios y regresa a Principal; </w:t>
      </w:r>
      <w:r>
        <w:rPr>
          <w:i/>
        </w:rPr>
        <w:t xml:space="preserve">Volver</w:t>
      </w:r>
      <w:r>
        <w:t xml:space="preserve"> sale sin aplicar modificaciones.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bl>
    <w:p>
      <w:pPr>
        <w:spacing w:after="0" w:line="120" w:lineRule="exact"/>
      </w:pP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el arranque no se confirma, la pantalla de Espera abandona el intento a los pocos segundos y regresa a Principal. </w:t>
      </w:r>
      <w:r>
        <w:rPr>
          <w:b/>
        </w:rPr>
        <w:t xml:space="preserve">El regreso a Principal significa que el experimento no comenzó</w:t>
      </w:r>
      <w:r>
        <w:t xml:space="preserve">, no que comenzó y falló.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La pantalla congela el progreso, el tiempo transcurrido y la salud </w:t>
      </w:r>
      <w:r>
        <w:rPr>
          <w:b/>
        </w:rPr>
        <w:t xml:space="preserve">en el instante de la finalización</w:t>
      </w:r>
      <w:r>
        <w:t xml:space="preserve">; no continúan avanzando.</w:t>
      </w:r>
    </w:p>
    <w:p>
      <w:r>
        <w:t xml:space="preserve">De Resultado solo se sale mediante </w:t>
      </w:r>
      <w:r>
        <w:rPr>
          <w:b/>
        </w:rPr>
        <w:t xml:space="preserve">Volver</w:t>
      </w:r>
      <w:r>
        <w:t xml:space="preserve">. El equipo no abandona esta pantalla por sí mismo, de manera deliberada: el resultado debe poder leerse y anotarse sin apremio.</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Es de solo lectura, por diseño.</w:t>
      </w:r>
      <w:r>
        <w:t xml:space="preserve"> No es posible iniciar ni detener un experimento desde la web, ni lo será: hacerlo energizaría las bobinas con animales en el gabinete y sin nadie en la sala, mientras que la parada de emergencia solo auxilia a quien ya está presente.</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Heading2"/>
      </w:pPr>
      <w:r>
        <w:t xml:space="preserve">Ajustes de banco</w:t>
      </w:r>
    </w:p>
    <w:p>
      <w:r>
        <w:t xml:space="preserve">Tres ajustes del archivo existen para trabajar en el banco sin el equipo completo. Los tres vienen de fábrica en su valor más seguro, y el generador avisa cuando se cambian:</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Ajuste</w:t>
            </w:r>
          </w:p>
        </w:tc>
        <w:tc>
          <w:tcPr>
            <w:tcW w:w="3120" w:type="dxa"/>
          </w:tcPr>
          <w:p>
            <w:pPr>
              <w:pStyle w:val="TablaEncabezado"/>
            </w:pPr>
            <w:r>
              <w:t xml:space="preserve">De fábrica</w:t>
            </w:r>
          </w:p>
        </w:tc>
        <w:tc>
          <w:tcPr>
            <w:tcW w:w="3120" w:type="dxa"/>
          </w:tcPr>
          <w:p>
            <w:pPr>
              <w:pStyle w:val="TablaEncabezado"/>
            </w:pPr>
            <w:r>
              <w:t xml:space="preserve">Para qué cambiarlo</w:t>
            </w:r>
          </w:p>
        </w:tc>
      </w:tr>
      <w:tr>
        <w:tc>
          <w:tcPr>
            <w:tcW w:w="3120" w:type="dxa"/>
          </w:tcPr>
          <w:p>
            <w:pPr>
              <w:pStyle w:val="TablaCelda"/>
            </w:pPr>
            <w:r>
              <w:rPr>
                <w:b/>
              </w:rPr>
              <w:t xml:space="preserve">Exigir la placa de control</w:t>
            </w:r>
          </w:p>
        </w:tc>
        <w:tc>
          <w:tcPr>
            <w:tcW w:w="3120" w:type="dxa"/>
          </w:tcPr>
          <w:p>
            <w:pPr>
              <w:pStyle w:val="TablaCelda"/>
            </w:pPr>
            <w:r>
              <w:t xml:space="preserve">Sí</w:t>
            </w:r>
          </w:p>
        </w:tc>
        <w:tc>
          <w:tcPr>
            <w:tcW w:w="3120" w:type="dxa"/>
          </w:tcPr>
          <w:p>
            <w:pPr>
              <w:pStyle w:val="TablaCelda"/>
            </w:pPr>
            <w:r>
              <w:t xml:space="preserve">Desmarcado, la pantalla funciona sola: se puede recorrer y «correr» un experimento sin la placa de control conectada. Nada se energiza.</w:t>
            </w:r>
          </w:p>
        </w:tc>
      </w:tr>
      <w:tr>
        <w:tc>
          <w:tcPr>
            <w:tcW w:w="3120" w:type="dxa"/>
          </w:tcPr>
          <w:p>
            <w:pPr>
              <w:pStyle w:val="TablaCelda"/>
            </w:pPr>
            <w:r>
              <w:rPr>
                <w:b/>
              </w:rPr>
              <w:t xml:space="preserve">Detector encendido</w:t>
            </w:r>
          </w:p>
        </w:tc>
        <w:tc>
          <w:tcPr>
            <w:tcW w:w="3120" w:type="dxa"/>
          </w:tcPr>
          <w:p>
            <w:pPr>
              <w:pStyle w:val="TablaCelda"/>
            </w:pPr>
            <w:r>
              <w:t xml:space="preserve">Sí</w:t>
            </w:r>
          </w:p>
        </w:tc>
        <w:tc>
          <w:tcPr>
            <w:tcW w:w="3120" w:type="dxa"/>
          </w:tcPr>
          <w:p>
            <w:pPr>
              <w:pStyle w:val="TablaCelda"/>
            </w:pPr>
            <w:r>
              <w:t xml:space="preserve">Apagado, ninguna alerta puede cortar el experimento. Se sigue midiendo y mostrando.</w:t>
            </w:r>
          </w:p>
        </w:tc>
      </w:tr>
      <w:tr>
        <w:tc>
          <w:tcPr>
            <w:tcW w:w="3120" w:type="dxa"/>
          </w:tcPr>
          <w:p>
            <w:pPr>
              <w:pStyle w:val="TablaCelda"/>
            </w:pPr>
            <w:r>
              <w:rPr>
                <w:b/>
              </w:rPr>
              <w:t xml:space="preserve">Sensor de TEMP1</w:t>
            </w:r>
          </w:p>
        </w:tc>
        <w:tc>
          <w:tcPr>
            <w:tcW w:w="3120" w:type="dxa"/>
          </w:tcPr>
          <w:p>
            <w:pPr>
              <w:pStyle w:val="TablaCelda"/>
            </w:pPr>
            <w:r>
              <w:t xml:space="preserve">DS18B20</w:t>
            </w:r>
          </w:p>
        </w:tc>
        <w:tc>
          <w:tcPr>
            <w:tcW w:w="3120" w:type="dxa"/>
          </w:tcPr>
          <w:p>
            <w:pPr>
              <w:pStyle w:val="TablaCelda"/>
            </w:pPr>
            <w:r>
              <w:rPr>
                <w:i/>
              </w:rPr>
              <w:t xml:space="preserve">sim</w:t>
            </w:r>
            <w:r>
              <w:t xml:space="preserve"> lee la temperatura de una entrada analógica (0–5 V equivale a 0–50 °C), para provocar un corte con un potenciómetro; </w:t>
            </w:r>
            <w:r>
              <w:rPr>
                <w:i/>
              </w:rPr>
              <w:t xml:space="preserve">none</w:t>
            </w:r>
            <w:r>
              <w:t xml:space="preserve"> no usa termómetro, para cuando no hay uno conectado.</w:t>
            </w:r>
          </w:p>
        </w:tc>
      </w:tr>
    </w:tbl>
    <w:p>
      <w:pPr>
        <w:spacing w:after="0" w:line="120" w:lineRule="exact"/>
      </w:pPr>
    </w:p>
    <w:p>
      <w:r>
        <w:t xml:space="preserve">Con TEMP1 en </w:t>
      </w:r>
      <w:r>
        <w:rPr>
          <w:i/>
        </w:rPr>
        <w:t xml:space="preserve">sim</w:t>
      </w:r>
      <w:r>
        <w:t xml:space="preserve"> o </w:t>
      </w:r>
      <w:r>
        <w:rPr>
          <w:i/>
        </w:rPr>
        <w:t xml:space="preserve">none</w:t>
      </w:r>
      <w:r>
        <w:t xml:space="preserve"> el equipo </w:t>
      </w:r>
      <w:r>
        <w:rPr>
          <w:b/>
        </w:rPr>
        <w:t xml:space="preserve">no está midiendo la temperatura del gabinete</w:t>
      </w:r>
      <w:r>
        <w:t xml:space="preserve">. Ninguno de estos ajustes es apto para un experimento con animales.</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emplear el generador de configuración que acompaña al equipo (</w:t>
      </w:r>
      <w:r>
        <w:rPr>
          <w:rFonts w:ascii="Consolas" w:hAnsi="Consolas"/>
          <w:sz w:val="19"/>
        </w:rPr>
        <w:t xml:space="preserve">tools/generador-config.html</w:t>
      </w:r>
      <w:r>
        <w:t xml:space="preserve">): se abre con doble clic, no requiere instalación y </w:t>
      </w:r>
      <w:r>
        <w:rPr>
          <w:b/>
        </w:rPr>
        <w:t xml:space="preserve">valida antes de permitir guardar</w:t>
      </w:r>
      <w:r>
        <w:t xml:space="preserve">. Resulta conveniente incluso para quien domina el formato JSON, porque existen errores que el equipo no puede advertir: un valor entero escrito con parte decimal, por ejemplo, se descarta en silencio y, en las listas de la pantalla, queda en cero.</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El firmware de la interfaz incluye un modo de banco</w:t>
      </w:r>
      <w:r>
        <w:t xml:space="preserve"> (</w:t>
      </w:r>
      <w:r>
        <w:rPr>
          <w:rFonts w:ascii="Consolas" w:hAnsi="Consolas"/>
          <w:sz w:val="19"/>
        </w:rPr>
        <w:t xml:space="preserve">BENCH_SIN_MEGA</w:t>
      </w:r>
      <w:r>
        <w:t xml:space="preserve">) que permite alcanzar Principal sin placa de control conectada. Debe estar desactivado en la compilación de producción; de lo contrario, Iniciar permanecería en Espera hasta agotar el tiempo sin que exista nada que arrancar.</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