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r>
        <w:t xml:space="preserve">Un experimento puede llevar el distintivo </w:t>
      </w:r>
      <w:r>
        <w:rPr>
          <w:b/>
        </w:rPr>
        <w:t xml:space="preserve">CON RELAJACIONES</w:t>
      </w:r>
      <w:r>
        <w:t xml:space="preserve">: se declaró como experimento, pero corrió con alguna protección apagada (el detector, la vigilancia de la temperatura, el control de intensidad) o con sensores simulados. Sus mediciones pueden ser reales, pero no son las de un experimento en condiciones.</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El detalle indica también con qué </w:t>
      </w:r>
      <w:r>
        <w:rPr>
          <w:b/>
        </w:rPr>
        <w:t xml:space="preserve">configuración</w:t>
      </w:r>
      <w:r>
        <w:t xml:space="preserve"> corrió el experimento: un código que identifica el archivo de la tarjeta SD («default» si se usaron los valores de fábrica), y la lista de relajaciones que tenía activas. Dos experimentos con el mismo código corrieron con exactamente los mismos umbrales, factores y ganancias.</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No controla el experimento, por diseño.</w:t>
      </w:r>
      <w:r>
        <w:t xml:space="preserve"> No es posible iniciar ni detener un experimento desde la web, ni lo será: hacerlo energizaría las bobinas con animales en el gabinete y sin nadie en la sala, mientras que la parada de emergencia solo auxilia a quien ya está presente. Lo único que la web puede cambiar es la configuración (ver abajo).</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2"/>
      </w:pPr>
      <w:r>
        <w:t xml:space="preserve">Pantalla «Configuración»</w:t>
      </w:r>
    </w:p>
    <w:p>
      <w:r>
        <w:t xml:space="preserve">Muestra con qué configuración está funcionando la placa y permite enviarle una nueva. El formulario es el mismo generador de configuración que acompaña al equipo, con las mismas validaciones: no deja enviar un archivo con errores. La red WiFi y el broker no se editan desde acá y la placa conserva los suyos.</w:t>
      </w:r>
    </w:p>
    <w:p>
      <w:r>
        <w:t xml:space="preserve">Al enviar, la placa recibe la configuración, la valida y la graba en su tarjeta SD, dejando la anterior respaldada como </w:t>
      </w:r>
      <w:r>
        <w:rPr>
          <w:rFonts w:ascii="Consolas" w:hAnsi="Consolas"/>
          <w:sz w:val="19"/>
        </w:rPr>
        <w:t xml:space="preserve">config.prev.json</w:t>
      </w:r>
      <w:r>
        <w:t xml:space="preserve">. La pantalla informa el resultado: «Grabada en la placa», o el motivo del rechazo (por ejemplo, un experimento en curso).</w:t>
      </w:r>
    </w:p>
    <w:p>
      <w:pPr>
        <w:pStyle w:val="Etiqueta"/>
        <w:pBdr>
          <w:left w:val="single" w:sz="18" w:space="8" w:color="6D4100"/>
        </w:pBdr>
        <w:shd w:val="clear" w:fill="FBF4E6"/>
        <w:ind w:left="200" w:right="120"/>
        <w:spacing w:before="180" w:after="40"/>
      </w:pPr>
      <w:r>
        <w:t xml:space="preserve">Cuándo se aplica</w:t>
      </w:r>
    </w:p>
    <w:p>
      <w:pPr>
        <w:pStyle w:val="Llamada"/>
        <w:pBdr>
          <w:left w:val="single" w:sz="18" w:space="8" w:color="6D4100"/>
        </w:pBdr>
        <w:shd w:val="clear" w:fill="FBF4E6"/>
        <w:ind w:left="200" w:right="120"/>
      </w:pPr>
      <w:r>
        <w:rPr>
          <w:b/>
        </w:rPr>
        <w:t xml:space="preserve">La configuración enviada se aplica en el próximo reinicio de la placa</w:t>
      </w:r>
      <w:r>
        <w:t xml:space="preserve">, cualquiera sea su causa, y la placa no pide confirmación en su pantalla. Para aplicarla de inmediato hay que reiniciarla a mano. Un envío se rechaza mientras hay un experimento en curso.</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