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accede a la columna Transformación (45% de contado / 36% a cuotas en el programa completo), sin exigir estrato. No se acumula con otros beneficios.</w:t>
      </w:r>
    </w:p>
    <w:p>
      <w:pPr>
        <w:spacing w:after="80"/>
      </w:pPr>
      <w:r>
        <w:rPr>
          <w:b w:val="0"/>
          <w:sz w:val="21"/>
        </w:rPr>
        <w:t>3.5 — Convenio Empresa Aliada (Heiiu Business Partner, iniciativa Go Above and Beyond): (a) todo colaborador de una empresa aliada que presente carta de postulación de su empresa accede a la columna Transformación, igual que el afiliado a Cajasan; (b) Beca [Empresa]: hasta TRES colaboradores por empresa y por TRIMESTRE calendario, elegidos por la empresa, reciben el porcentaje de contado de la columna Transformación (45% en el programa completo) aunque paguen a cuotas, más los libros del programa y prioridad de cupo; Escalera: el cupo base es de 3 becas por trimestre; sube a 5 para el trimestre siguiente cuando TODOS los becados activos de la empresa cumplieron (asistencia mínima del 80% y pagos al día); si alguno incumple, el trimestre siguiente vuelve a 3. El cupo nunca pasa de 5 ni se acumula de un trimestre a otro.; (c) los beneficios no se acumulan: se aplica el mejor; (d) las becas por empresa entran en el cupo trimestral de la columna Transformación. (e) quién puede usar el beneficio: el colaborador, su cónyuge o un hijo desde los 12 años (menor de edad con acudiente), con la misma carta de postulación de la empresa; y, cuando la empresa tenga fundación o programa de bienestar o responsabilidad social, los beneficiarios de esa fundación o programa (incluidas las familias de la comunidad que atiende), con carta de postulación firmada por la fundación; las Becas [Empresa] asignadas a familiares o a beneficiarios de la fundación cuentan dentro del mismo cupo trimestral de la empresa y cumplen las mismas condiciones.</w:t>
      </w:r>
    </w:p>
    <w:p>
      <w:pPr>
        <w:spacing w:after="80"/>
      </w:pPr>
      <w:r>
        <w:rPr>
          <w:b w:val="0"/>
          <w:sz w:val="21"/>
        </w:rPr>
        <w:t>3.6 — Tarifa corporativa (fuera del Fondo): cuando una empresa paga directamente el programa de sus colaboradores no aplica beca personal: aplica la tarifa corporativa por cupo, equivalente al valor de contado de la columna Transformación, con factura a la empresa y copago permitido. TARIFA POR VOLUMEN (por cupo del programa completo, en una misma orden): de 3 a 7 cupos, $4.782.800, en grupos regulares, de contado o 30% inicial y saldo en tres cuotas; de 8 a 15, $4.350.000, en grupos regulares o grupo cerrado en la sede desde 12 cupos, 40% inicial y saldo en tres cuotas; de 16 a 30, $3.950.000, en grupo cerrado en la sede o en la empresa (lunes a viernes entre 7:00 am y 8:00 pm), 40% inicial y saldo en tres cuotas. De 31 cupos en adelante, cotización de gerencia; ningún cupo se vende por debajo de $3.500.000. Toda orden la firma gerencia.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