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E54C09"/>
          <w:sz w:val="28"/>
        </w:rPr>
        <w:t>ALIANZA HEIIU BUSINESS PARTNER — LAS CUATRO CAPAS, EN PESOS</w:t>
      </w:r>
    </w:p>
    <w:p>
      <w:r>
        <w:rPr>
          <w:color w:val="777777"/>
          <w:sz w:val="19"/>
        </w:rPr>
        <w:t>Programa completo A1 a B2 · precio de lista $8.696.000 · porcentajes de la columna Transformación del Fondo (45% contado / 36% cuotas) y General (32% / 26%)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96"/>
        <w:gridCol w:w="1796"/>
        <w:gridCol w:w="1796"/>
        <w:gridCol w:w="1796"/>
        <w:gridCol w:w="1796"/>
        <w:gridCol w:w="1796"/>
        <w:gridCol w:w="1796"/>
        <w:gridCol w:w="1796"/>
      </w:tblGrid>
      <w:tr>
        <w:tc>
          <w:tcPr>
            <w:tcW w:type="dxa" w:w="147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</w:r>
          </w:p>
        </w:tc>
        <w:tc>
          <w:tcPr>
            <w:tcW w:type="dxa" w:w="204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</w:t>
            </w:r>
          </w:p>
        </w:tc>
        <w:tc>
          <w:tcPr>
            <w:tcW w:type="dxa" w:w="2608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RECIBE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DE CONTADO</w:t>
            </w:r>
          </w:p>
        </w:tc>
        <w:tc>
          <w:tcPr>
            <w:tcW w:type="dxa" w:w="153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PAGA A CUOTAS</w:t>
            </w:r>
          </w:p>
        </w:tc>
        <w:tc>
          <w:tcPr>
            <w:tcW w:type="dxa" w:w="2494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QUÉ GANA FRENTE A LLEGAR POR LA CALLE</w:t>
            </w:r>
          </w:p>
        </w:tc>
        <w:tc>
          <w:tcPr>
            <w:tcW w:type="dxa" w:w="1871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LE CUESTA A HEIIU</w:t>
            </w:r>
          </w:p>
        </w:tc>
        <w:tc>
          <w:tcPr>
            <w:tcW w:type="dxa" w:w="1587"/>
            <w:shd w:val="clear" w:color="auto" w:fill="FFF8E7"/>
          </w:tcPr>
          <w:p>
            <w:pPr>
              <w:spacing w:after="0"/>
            </w:pPr>
            <w:r>
              <w:rPr>
                <w:b/>
                <w:sz w:val="19"/>
              </w:rPr>
              <w:t>QUIÉN CIERRA</w:t>
            </w:r>
          </w:p>
        </w:tc>
      </w:tr>
      <w:tr>
        <w:tc>
          <w:tcPr>
            <w:tcW w:type="dxa" w:w="147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Referencia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Persona que llega por la calle (General, sin Cajasan)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Beca General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$5.913.280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$6.435.040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—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Lo normal del Fondo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Asesora</w:t>
            </w:r>
          </w:p>
        </w:tc>
      </w:tr>
      <w:tr>
        <w:tc>
          <w:tcPr>
            <w:tcW w:type="dxa" w:w="147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CAPA 1</w:t>
              <w:br/>
              <w:t>Beneficio de convenio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Todos los colaboradores de la empresa aliada, con carta de la empresa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Columna Transformación (igual que Cajasan)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$5.565.440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Contado: $1.130.480 menos</w:t>
              <w:br/>
              <w:t>Cuotas: $869.600 menos</w:t>
              <w:br/>
              <w:t>(si ya es de Cajasan: lo mismo que tenía, pero ahora lo usa)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Lo mismo que ya da a Cajasan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Asesora (el empleado llega a la cita como lead caliente)</w:t>
            </w:r>
          </w:p>
        </w:tc>
      </w:tr>
      <w:tr>
        <w:tc>
          <w:tcPr>
            <w:tcW w:type="dxa" w:w="147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CAPA 2</w:t>
              <w:br/>
              <w:t>Beca [Empresa]</w:t>
              <w:br/>
              <w:t>(3 por ciclo)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Los 3 colaboradores que la empresa premia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Transformación al 45% AUNQUE PAGUE A CUOTAS + ceremonia con certificado de la empresa + libros + prioridad de cupo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</w:t>
              <w:br/>
              <w:t>(en vez de $5.565.440)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</w:rPr>
              <w:t>Cuotas: $1.652.160 menos que por la calle</w:t>
              <w:br/>
              <w:t>y $782.640 más que un afiliado a Cajasan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$782.640 por premiado que pague a cuotas · tope 3 por empresa, 15 en el piloto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Asesora; el convenio lo cierra el docente</w:t>
            </w:r>
          </w:p>
        </w:tc>
      </w:tr>
      <w:tr>
        <w:tc>
          <w:tcPr>
            <w:tcW w:type="dxa" w:w="147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CAPA 3</w:t>
              <w:br/>
              <w:t>Beneficios de la empresa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aliada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Ceremonia con su nombre · reporte de avance de sus becados · diagnóstico de inglés para su equipo (10 personas) · vitrina de egresados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sz w:val="19"/>
              </w:rPr>
              <w:t>$0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sz w:val="19"/>
              </w:rPr>
              <w:t>Nada de esto lo da una caja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Horas del equipo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Docente (convenio estándar)</w:t>
            </w:r>
          </w:p>
        </w:tc>
      </w:tr>
      <w:tr>
        <w:tc>
          <w:tcPr>
            <w:tcW w:type="dxa" w:w="1474"/>
            <w:shd w:val="clear" w:color="auto" w:fill="FFF3E8"/>
          </w:tcPr>
          <w:p>
            <w:pPr>
              <w:spacing w:after="0"/>
            </w:pPr>
            <w:r>
              <w:rPr>
                <w:b/>
                <w:sz w:val="19"/>
              </w:rPr>
              <w:t>CAPA 4</w:t>
              <w:br/>
              <w:t>Tarifa corporativa</w:t>
              <w:br/>
              <w:t>(la empresa paga)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9"/>
              </w:rPr>
              <w:t>La empresa compra cupos para sus colaboradores, mínimo 3</w:t>
            </w:r>
          </w:p>
        </w:tc>
        <w:tc>
          <w:tcPr>
            <w:tcW w:type="dxa" w:w="2608"/>
          </w:tcPr>
          <w:p>
            <w:pPr>
              <w:spacing w:after="0"/>
            </w:pPr>
            <w:r>
              <w:rPr>
                <w:sz w:val="19"/>
              </w:rPr>
              <w:t>Programa completo por cupo a tarifa corporativa (mismo valor que la Transformación de contado), factura a la empresa, copago posible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$4.782.800 por cupo</w:t>
              <w:br/>
              <w:t>(3 cupos: $14.348.400)</w:t>
            </w:r>
          </w:p>
        </w:tc>
        <w:tc>
          <w:tcPr>
            <w:tcW w:type="dxa" w:w="1531"/>
          </w:tcPr>
          <w:p>
            <w:pPr>
              <w:spacing w:after="0"/>
            </w:pPr>
            <w:r>
              <w:rPr>
                <w:b/>
                <w:sz w:val="19"/>
              </w:rPr>
              <w:t>Cuotas corporativas que pacta gerencia</w:t>
            </w:r>
          </w:p>
        </w:tc>
        <w:tc>
          <w:tcPr>
            <w:tcW w:type="dxa" w:w="2494"/>
          </w:tcPr>
          <w:p>
            <w:pPr>
              <w:spacing w:after="0"/>
            </w:pPr>
            <w:r>
              <w:rPr>
                <w:b/>
                <w:sz w:val="19"/>
              </w:rPr>
              <w:t>El colaborador no paga nada o paga solo una parte</w:t>
            </w:r>
          </w:p>
        </w:tc>
        <w:tc>
          <w:tcPr>
            <w:tcW w:type="dxa" w:w="1871"/>
          </w:tcPr>
          <w:p>
            <w:pPr>
              <w:spacing w:after="0"/>
            </w:pPr>
            <w:r>
              <w:rPr>
                <w:sz w:val="19"/>
              </w:rPr>
              <w:t>Nada: es venta a precio Transformación, con plata por adelantado</w:t>
            </w:r>
          </w:p>
        </w:tc>
        <w:tc>
          <w:tcPr>
            <w:tcW w:type="dxa" w:w="1587"/>
          </w:tcPr>
          <w:p>
            <w:pPr>
              <w:spacing w:after="0"/>
            </w:pPr>
            <w:r>
              <w:rPr>
                <w:sz w:val="19"/>
              </w:rPr>
              <w:t>GERENCIA (el docente agenda, 3%)</w:t>
            </w:r>
          </w:p>
        </w:tc>
      </w:tr>
    </w:tbl>
    <w:p/>
    <w:p>
      <w:r>
        <w:rPr>
          <w:color w:val="777777"/>
          <w:sz w:val="18"/>
        </w:rPr>
        <w:t>• Regla del mejor beneficio: nunca se suman dos becas; se aplica la mayor a la que el colaborador califique. El afiliado a Cajasan y el colaborador de empresa aliada reciben lo mismo en la capa 1; la capa 2 es lo que solo da la empresa.</w:t>
      </w:r>
    </w:p>
    <w:p>
      <w:r>
        <w:rPr>
          <w:color w:val="777777"/>
          <w:sz w:val="18"/>
        </w:rPr>
        <w:t>• Cupo: la columna Transformación tiene tope del 30% de las matrículas nuevas por trimestre; capas 1 y 2 entran en ese cupo. La capa 4 no pasa por el Fondo: es tarifa corporativa por volumen.</w:t>
      </w:r>
    </w:p>
    <w:p>
      <w:r>
        <w:rPr>
          <w:color w:val="777777"/>
          <w:sz w:val="18"/>
        </w:rPr>
        <w:t>• Cambios que esto exige: reglamento del Fondo art. 3.1 d (de "cliente empresarial tarifa plena" a "tarifa corporativa por volumen") y art. 3.5 (empresa aliada = Transformación para todos + Beca [Empresa] 45% a cuotas, 3 por ciclo); convenio, propuesta del docente y kit.</w:t>
      </w:r>
    </w:p>
    <w:sectPr w:rsidR="00FC693F" w:rsidRPr="0006063C" w:rsidSect="00034616">
      <w:pgSz w:w="15840" w:h="12240" w:orient="landscape"/>
      <w:pgMar w:top="680" w:right="737" w:bottom="56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