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el primer año del estudiante, 3% el segundo, 0% después): validar redacción.</w:t>
      </w:r>
    </w:p>
    <w:p>
      <w:pPr>
        <w:spacing w:after="40"/>
      </w:pPr>
      <w:r>
        <w:rPr>
          <w:b w:val="0"/>
          <w:i w:val="0"/>
          <w:sz w:val="21"/>
        </w:rPr>
        <w:t>4. Comisiones causadas al terminar el contrato (cláusula 10): definir qué se paga de los recaudos posteriores a la terminación. Hoy está como PENDIENTE.</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sus primeros doce (12) meses y tres por ciento (3%) de los que realice entre los meses trece (13) y veinticuatro (24); a partir del mes veinticinco (25) del estudiante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$48.000.000 en el trimestre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mes 2, cuatro (4) firmas y cinco (5) cupos acumulados; mes 3, seis (6) firmas y diez (10) cupos acumulados.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[PENDIENTE ABOGADO: comisiones sobre recaudos posteriores a la terminación del contrato.]</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Las partes sostendrán dos reuniones fijas semanales de treinta (30) minutos (lunes: plan de la semana; jueves: resultados frente a la meta y ajustes). EL TRABAJADOR tiene autonomía para organizar su agenda y sus visitas.</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