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E54C09"/>
          <w:sz w:val="34"/>
        </w:rPr>
        <w:t>FONDO DE BECAS HEIIU — REGLAMENTO</w:t>
      </w:r>
    </w:p>
    <w:p>
      <w:pPr>
        <w:jc w:val="center"/>
      </w:pPr>
      <w:r>
        <w:rPr>
          <w:color w:val="777777"/>
          <w:sz w:val="20"/>
        </w:rPr>
        <w:t>Heiiu English Academy · Global Teacher S.A.S. · v3 — Septiembre 2026</w:t>
      </w:r>
    </w:p>
    <w:p>
      <w:pPr>
        <w:spacing w:after="100"/>
      </w:pPr>
      <w:r>
        <w:rPr>
          <w:b/>
          <w:sz w:val="22"/>
        </w:rPr>
        <w:t xml:space="preserve">Artículo 1 — Naturaleza. </w:t>
      </w:r>
      <w:r>
        <w:rPr>
          <w:sz w:val="22"/>
        </w:rPr>
        <w:t>El Fondo de Becas Heiiu es un programa institucional de Global Teacher S.A.S. que subsidia parcialmente el valor de los programas a estudiantes seleccionados. Los recursos del Fondo provienen de la propia institución.</w:t>
      </w:r>
    </w:p>
    <w:p>
      <w:pPr>
        <w:spacing w:after="100"/>
      </w:pPr>
      <w:r>
        <w:rPr>
          <w:b/>
          <w:sz w:val="22"/>
        </w:rPr>
        <w:t xml:space="preserve">Artículo 2 — Administración. </w:t>
      </w:r>
      <w:r>
        <w:rPr>
          <w:sz w:val="22"/>
        </w:rPr>
        <w:t>El Fondo es administrado y auditado por la contaduría externa de la institución. Ningún funcionario de Heiiu — incluida la gerencia — tiene facultad individual para otorgar, modificar o restituir becas por fuera de este reglamento.</w:t>
      </w:r>
    </w:p>
    <w:p>
      <w:pPr>
        <w:spacing w:after="100"/>
      </w:pPr>
      <w:r>
        <w:rPr>
          <w:b/>
          <w:sz w:val="22"/>
        </w:rPr>
        <w:t xml:space="preserve">Artículo 3 — Niveles de beca. </w:t>
      </w:r>
      <w:r>
        <w:rPr>
          <w:sz w:val="22"/>
        </w:rPr>
        <w:t>El PERFIL del aspirante define el techo de su beca: (a) Transformación — techo 45%, exclusiva para estrato 1-2 / SISBÉN con soporte, cupos limitados por trimestre; (b) General — techo 32%; (c) Ejecutivo — techo 15%. El COMPROMISO define cuánto del techo se otorga, según el paquete contratado y la forma de pago. Beca efectiva sobre la tarifa pública vigente: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1"/>
              </w:rPr>
              <w:t>Paquete (contado / cuotas)</w:t>
            </w:r>
          </w:p>
        </w:tc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1"/>
              </w:rPr>
              <w:t>TRANSFORMACIÓN</w:t>
            </w:r>
          </w:p>
        </w:tc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1"/>
              </w:rPr>
              <w:t>GENERAL</w:t>
            </w:r>
          </w:p>
        </w:tc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1"/>
              </w:rPr>
              <w:t>EJECUTIVO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  <w:t>A1→B2 completo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45% / 36%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32% / 25,6%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15% / 12%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  <w:t>A2→B2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36% / 27%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25,6% / 19,2%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12% / 9%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  <w:t>B1→B2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24,8% / 15,8%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17,6% / 11,2%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8,3% / 5,3%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  <w:t>Solo B2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20,3% / 11,3%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14,4% / 8%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6,8% / 3,8%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  <w:t>Nivel suelto / sabatino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Sin beca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Sin beca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Sin beca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80"/>
      </w:pPr>
      <w:r>
        <w:rPr>
          <w:b w:val="0"/>
          <w:sz w:val="21"/>
        </w:rPr>
        <w:t>3.4 — Convenio Cajasan: el aspirante que acredite afiliación vigente a Cajasan (carné o certificado) accede a la columna Transformación (45% de contado / 36% a cuotas en el programa completo), sin exigir estrato. No se acumula con otros beneficios.</w:t>
      </w:r>
    </w:p>
    <w:p>
      <w:pPr>
        <w:spacing w:after="80"/>
      </w:pPr>
      <w:r>
        <w:rPr>
          <w:b w:val="0"/>
          <w:sz w:val="21"/>
        </w:rPr>
        <w:t>3.5 — Convenio Empresa Aliada (Heiiu Business Partner, iniciativa Go Above and Beyond): (a) todo colaborador de una empresa aliada que presente carta de postulación de su empresa accede a la columna Transformación, igual que el afiliado a Cajasan; (b) Beca [Empresa]: hasta TRES colaboradores por empresa y por TRIMESTRE calendario, elegidos por la empresa, reciben el porcentaje de contado de la columna Transformación (45% en el programa completo) aunque paguen a cuotas, más los libros del programa y prioridad de cupo; Escalera: el cupo base es de 3 becas por trimestre; sube a 5 para el trimestre siguiente cuando TODOS los becados activos de la empresa cumplieron (asistencia mínima del 80% y pagos al día); si alguno incumple, el trimestre siguiente vuelve a 3. El cupo nunca pasa de 5 ni se acumula de un trimestre a otro.; (c) los beneficios no se acumulan: se aplica el mejor; (d) las becas por empresa entran en el cupo trimestral de la columna Transformación.</w:t>
      </w:r>
    </w:p>
    <w:p>
      <w:pPr>
        <w:spacing w:after="80"/>
      </w:pPr>
      <w:r>
        <w:rPr>
          <w:b w:val="0"/>
          <w:sz w:val="21"/>
        </w:rPr>
        <w:t>3.6 — Tarifa corporativa (fuera del Fondo): cuando una empresa paga directamente el programa de sus colaboradores no aplica beca personal: aplica la tarifa corporativa por cupo, equivalente al valor de contado de la columna Transformación, con factura a la empresa y copago permitido. PLAN EMPRESA ESTÁNDAR: de 3 a 7 cupos, en los grupos regulares de la academia, pago de contado o 30% inicial y el saldo en tres cuotas mensuales; se cierra con el formato estándar y lo firma gerencia. De 8 cupos en adelante, o con cualquier condición distinta (clases en la empresa, horarios propios, otros plazos), lo revisa y cierra gerencia.</w:t>
      </w:r>
    </w:p>
    <w:p>
      <w:pPr>
        <w:spacing w:after="100"/>
      </w:pPr>
      <w:r>
        <w:rPr>
          <w:b/>
          <w:sz w:val="22"/>
        </w:rPr>
        <w:t xml:space="preserve">Artículo 4 — Condiciones de permanencia. </w:t>
      </w:r>
      <w:r>
        <w:rPr>
          <w:sz w:val="22"/>
        </w:rPr>
        <w:t>La beca se mantiene mientras el estudiante cumpla TODAS: (1) asistencia mínima del 80%; (2) puntualidad en los pagos acordados (ninguna cuota con más de 5 días hábiles de mora); (3) cumplimiento de tareas y entregables del programa, incluido el portafolio de práctica; (4) comportamiento conforme al contrato de matrícula.</w:t>
      </w:r>
    </w:p>
    <w:p>
      <w:pPr>
        <w:spacing w:after="100"/>
      </w:pPr>
      <w:r>
        <w:rPr>
          <w:b/>
          <w:sz w:val="22"/>
        </w:rPr>
        <w:t xml:space="preserve">Artículo 5 — Pérdida y recuperación. </w:t>
      </w:r>
      <w:r>
        <w:rPr>
          <w:sz w:val="22"/>
        </w:rPr>
        <w:t>El incumplimiento de cualquier condición suspende la beca: las cuotas siguientes se liquidan a tarifa plena. El estudiante puede solicitar POR UNA ÚNICA VEZ la recuperación de la beca acreditando 30 días continuos de cumplimiento total. La solicitud se presenta por escrito a coordinación y la resuelve la administración del Fondo.</w:t>
      </w:r>
    </w:p>
    <w:p>
      <w:pPr>
        <w:spacing w:after="100"/>
      </w:pPr>
      <w:r>
        <w:rPr>
          <w:b/>
          <w:sz w:val="22"/>
        </w:rPr>
        <w:t xml:space="preserve">Artículo 6 — Vigencia de la aprobación. </w:t>
      </w:r>
      <w:r>
        <w:rPr>
          <w:sz w:val="22"/>
        </w:rPr>
        <w:t>Toda beca aprobada se comunica por escrito con fecha de vencimiento. La aprobación caduca a las 72 horas si no se formaliza la matrícula; con abono de separación, el cupo y las condiciones se mantienen por 7 días calendario. Vencido el plazo, la solicitud puede presentarse de nuevo sin garantía del mismo porcentaje ni cupo.</w:t>
      </w:r>
    </w:p>
    <w:p>
      <w:pPr>
        <w:spacing w:after="100"/>
      </w:pPr>
      <w:r>
        <w:rPr>
          <w:b/>
          <w:sz w:val="22"/>
        </w:rPr>
        <w:t xml:space="preserve">Artículo 7 — Sin excepciones. </w:t>
      </w:r>
      <w:r>
        <w:rPr>
          <w:sz w:val="22"/>
        </w:rPr>
        <w:t>Este reglamento no admite excepciones individuales. Una excepción a un estudiante compromete la sostenibilidad del Fondo para todas las familias.</w:t>
      </w:r>
    </w:p>
    <w:p>
      <w:r>
        <w:br w:type="page"/>
      </w:r>
    </w:p>
    <w:p>
      <w:pPr>
        <w:spacing w:after="80"/>
        <w:jc w:val="center"/>
      </w:pPr>
      <w:r>
        <w:rPr>
          <w:b/>
          <w:color w:val="E54C09"/>
          <w:sz w:val="34"/>
        </w:rPr>
        <w:t>FONDO DE BECAS HEIIU — CARTA DE APROBACIÓN</w:t>
      </w:r>
    </w:p>
    <w:p>
      <w:pPr>
        <w:jc w:val="center"/>
      </w:pPr>
      <w:r>
        <w:rPr>
          <w:color w:val="777777"/>
          <w:sz w:val="20"/>
        </w:rPr>
        <w:t>Heiiu English Academy · Global Teacher S.A.S.</w:t>
      </w:r>
    </w:p>
    <w:p/>
    <w:p>
      <w:pPr>
        <w:spacing w:after="80"/>
      </w:pPr>
      <w:r>
        <w:rPr>
          <w:b w:val="0"/>
          <w:sz w:val="24"/>
        </w:rPr>
        <w:t>Estudiante: ______________________________________  Documento: ____________________</w:t>
      </w:r>
    </w:p>
    <w:p>
      <w:pPr>
        <w:spacing w:after="80"/>
      </w:pPr>
      <w:r>
        <w:rPr>
          <w:b w:val="0"/>
          <w:sz w:val="24"/>
        </w:rPr>
        <w:t>Programa: ____________________________  Perfil: ____________________  Fecha: ____ / ____ / ______</w:t>
      </w:r>
    </w:p>
    <w:p/>
    <w:p>
      <w:pPr>
        <w:spacing w:after="80"/>
      </w:pPr>
      <w:r>
        <w:rPr>
          <w:b/>
          <w:sz w:val="24"/>
        </w:rPr>
        <w:t>Nos complace informarle que su solicitud ante el Fondo de Becas Heiiu fue APROBADA con una beca del ________ % sobre la tarifa pública vigente.</w:t>
      </w:r>
    </w:p>
    <w:p>
      <w:pPr>
        <w:spacing w:after="80"/>
      </w:pPr>
      <w:r>
        <w:rPr>
          <w:b w:val="0"/>
          <w:sz w:val="24"/>
        </w:rPr>
        <w:t>Valor cubierto por el Fondo: $ ____________________  ·  Inversión final del estudiante: $ ____________________</w:t>
      </w:r>
    </w:p>
    <w:p/>
    <w:p>
      <w:pPr>
        <w:spacing w:after="80"/>
      </w:pPr>
      <w:r>
        <w:rPr>
          <w:b w:val="0"/>
          <w:sz w:val="23"/>
        </w:rPr>
        <w:t>Esta aprobación vence el ____ / ____ / ______ a las 6:00 PM (Artículo 6 del Reglamento). Con abono de separación, sus condiciones se mantienen por 7 días calendario.</w:t>
      </w:r>
    </w:p>
    <w:p>
      <w:pPr>
        <w:spacing w:after="80"/>
      </w:pPr>
      <w:r>
        <w:rPr>
          <w:b w:val="0"/>
          <w:sz w:val="23"/>
        </w:rPr>
        <w:t>El beneficio está sujeto al Reglamento del Fondo (entregado junto con esta carta), en particular a las condiciones de permanencia del Artículo 4. El estudiante y su acudiente declaran conocerlas y aceptarlas.</w:t>
      </w:r>
    </w:p>
    <w:p/>
    <w:p/>
    <w:p/>
    <w:p>
      <w:pPr>
        <w:spacing w:after="80"/>
      </w:pPr>
      <w:r>
        <w:rPr>
          <w:b w:val="0"/>
          <w:sz w:val="24"/>
        </w:rPr>
        <w:t>_______________________________                    _______________________________</w:t>
      </w:r>
    </w:p>
    <w:p>
      <w:pPr>
        <w:spacing w:after="80"/>
      </w:pPr>
      <w:r>
        <w:rPr>
          <w:b w:val="0"/>
          <w:sz w:val="22"/>
        </w:rPr>
        <w:t>Administración del Fondo                                        Estudiante / Acudiente</w:t>
      </w:r>
    </w:p>
    <w:p/>
    <w:p>
      <w:pPr>
        <w:jc w:val="center"/>
      </w:pPr>
      <w:r>
        <w:rPr>
          <w:color w:val="777777"/>
          <w:sz w:val="19"/>
        </w:rPr>
        <w:t>Los artefactos hacen la realidad: esta carta se entrega SIEMPRE impresa y firmada, junto con el reglamento.</w:t>
      </w:r>
    </w:p>
    <w:sectPr w:rsidR="00FC693F" w:rsidRPr="0006063C" w:rsidSect="00034616">
      <w:pgSz w:w="12240" w:h="15840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