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Todo colaborador que presente carta de postulación de LA EMPRESA ALIADA accede a la columna Transformación del Fondo de Becas Heiiu (45% de contado o 36% a cuotas sobre la tarifa de lista del programa completo; proporcional en los demás paquetes), conforme al Reglamento del Fondo, artículo 3.5. (b) BECA [EMPRESA]: hasta tres colaboradores por trimestre calendario, elegidos por LA EMPRESA ALIADA, reciben el 45% aunque paguen a cuotas, más los libros del programa y prioridad de cupo; escalera: el cupo base es de tres becas por trimestre; sube a cinco para el trimestre siguiente cuando todos los becados activos de LA EMPRESA ALIADA cumplieron (asistencia mínima del 80% y pagos al día); si alguno incumple, vuelve a tres; nunca pasa de cinco ni se acumula. (c) Los beneficios no se acumulan entre sí ni con otras becas: se aplica el mejor al que el colaborador califique. (d) El beneficio puede extenderse al cónyuge o a un hijo mayor de 14 años del colaborador, con la misma carta de postulación.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Entrega de las Becas [Empresa] con certificado a nombre de LA EMPRESA ALIADA (en la empresa o en la sede);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otorga exclusividad, no constituye intermediación laboral ni promete empleo, visas ni resultados a ningún colaborador. Si LA EMPRESA ALIADA desea pagar directamente el programa de sus colaboradores, aplica el Plan Empresa: tarifa corporativa por cupo, de 3 a 7 cupos con el formato estándar (ORDEN PLAN EMPRESA), y de 8 en adelante o con condiciones distintas, por acuerdo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