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88 clases</w:t>
      </w:r>
    </w:p>
    <w:p>
      <w:pPr>
        <w:spacing w:before="160" w:after="40"/>
      </w:pPr>
      <w:r>
        <w:rPr>
          <w:b/>
          <w:color w:val="E54C09"/>
          <w:sz w:val="23"/>
        </w:rPr>
        <w:t>1. DOS PISTAS, DOS DOCENTES, DÍAS ALTERNOS</w:t>
      </w:r>
    </w:p>
    <w:p>
      <w:pPr>
        <w:spacing w:after="60"/>
      </w:pPr>
      <w:r>
        <w:rPr>
          <w:b w:val="0"/>
          <w:sz w:val="20"/>
        </w:rPr>
        <w:t>Es el mismo nivel B1 Mastery del cohorte de la mañana, pero en 2 horas diarias. En vez de dos clases el mismo día, las pistas se reparten por día de la semana:</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Clase 1, abre Conversación. Mañana, Clase 2, Gramática. Cada docente recibe únicamente la guía de su día.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Cl 1-5 puente de repaso A1/A2 · Cl 6-43 módulos con simulaciones profesionales, con entrevistas simuladas en Cl 20 y Cl 36 · Cl 44 MIDTERM "My Story, My Goals" (5 min) · Cl 45-85 segunda mitad, con negociación en Cl 56 y Cl 70 y debate en Cl 62 y Cl 76 · Cl 80-84 taller de pitch · Cl 86-87 presentaciones finales en formato panel ("Shark Tank": 3 minutos ante tres compañeros que preguntan) · Cl 88 examen final con evaluador externo. Estos hitos llegan dentro de la guía del día; en la Clase 1 solo se anuncian las fechas del midterm y del final.</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