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$48.000.000 en el trimestre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mes 2, cuatro (4) firmas y cinco (5) cupos acumulados; mes 3, seis (6) firmas y diez (10) cupos acumulados.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