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ANEXO ECONÓMICO No. ___ — ROL: CERRADORA HIGH TICKET · CAMPAÑA ARRANQUE A1+A2</w:t>
      </w:r>
    </w:p>
    <w:p>
      <w:pPr>
        <w:jc w:val="center"/>
      </w:pPr>
      <w:r>
        <w:rPr>
          <w:b/>
          <w:color w:val="777777"/>
          <w:sz w:val="19"/>
        </w:rPr>
        <w:t>BORRADOR 14/09/2026 — PENDIENTE: visto bueno del abogado y confirmación del esquema de pauta con el equipo de la casa · Hace parte integral del Contrato de Prestación de Servicios Comerciales suscrito entre las partes</w:t>
      </w:r>
    </w:p>
    <w:p/>
    <w:p>
      <w:pPr>
        <w:spacing w:after="80"/>
      </w:pPr>
      <w:r>
        <w:rPr>
          <w:b w:val="0"/>
          <w:sz w:val="21"/>
        </w:rPr>
        <w:t>Las partes pactan la siguiente remuneración, que reemplaza cualquier acuerdo verbal anterior:</w:t>
      </w:r>
    </w:p>
    <w:p>
      <w:pPr>
        <w:spacing w:after="60"/>
        <w:ind w:left="340"/>
      </w:pPr>
      <w:r>
        <w:rPr>
          <w:b/>
          <w:sz w:val="21"/>
        </w:rPr>
        <w:t xml:space="preserve">1. </w:t>
      </w:r>
      <w:r>
        <w:rPr>
          <w:b/>
          <w:sz w:val="21"/>
        </w:rPr>
        <w:t>CANAL PROPIO — 8%: comisión del OCHO por ciento (8%) del recaudo efectivo a caja por toda venta originada en el canal propio del (de la) CONTRATISTA: su contenido, su red personal y las campañas de pauta que la institución financie sobre sus piezas. La pauta la ejecuta la institución desde sus cuentas publicitarias, sobre piezas del (de la) CONTRATISTA aprobadas por gerencia, dirigiendo los leads al canal del (de la) CONTRATISTA; esos leads son canal propio.</w:t>
      </w:r>
    </w:p>
    <w:p>
      <w:pPr>
        <w:spacing w:after="60"/>
        <w:ind w:left="340"/>
      </w:pPr>
      <w:r>
        <w:rPr>
          <w:b/>
          <w:sz w:val="21"/>
        </w:rPr>
        <w:t xml:space="preserve">2. </w:t>
      </w:r>
      <w:r>
        <w:rPr>
          <w:b/>
          <w:sz w:val="21"/>
        </w:rPr>
        <w:t>ACELERADOR — 10% RETROACTIVO: la comisión sube al DIEZ por ciento (10%) sobre la TOTALIDAD de la serie de ventas del (de la) CONTRATISTA en esta campaña si se cumple cualquiera de las dos metas: (a) al 30 DE SEPTIEMBRE de 2026, ambas jornadas abiertas con dieciséis (16) matrículas en total, mínimo ocho (8) por jornada; o (b) los veinte (20) cupos de lanzamiento vendidos antes del 5 DE OCTUBRE de 2026. No cumplida ninguna, aplica el 8%.</w:t>
      </w:r>
    </w:p>
    <w:p>
      <w:pPr>
        <w:spacing w:after="60"/>
        <w:ind w:left="340"/>
      </w:pPr>
      <w:r>
        <w:rPr>
          <w:b/>
          <w:sz w:val="21"/>
        </w:rPr>
        <w:t xml:space="preserve">3. </w:t>
      </w:r>
      <w:r>
        <w:rPr>
          <w:b w:val="0"/>
          <w:sz w:val="21"/>
        </w:rPr>
        <w:t>BONO GRUPOS LLENOS: veintiocho (28) matrículas (14 y 14 por jornada) al 30 de septiembre de 2026 = bono único de DOS MILLONES DE PESOS ($2.000.000), adicional al acelerador.</w:t>
      </w:r>
    </w:p>
    <w:p>
      <w:pPr>
        <w:spacing w:after="60"/>
        <w:ind w:left="340"/>
      </w:pPr>
      <w:r>
        <w:rPr>
          <w:b/>
          <w:sz w:val="21"/>
        </w:rPr>
        <w:t xml:space="preserve">4. </w:t>
      </w:r>
      <w:r>
        <w:rPr>
          <w:b w:val="0"/>
          <w:sz w:val="21"/>
        </w:rPr>
        <w:t>LEADS ENTREGADOS POR LA INSTITUCIÓN: 5% del recaudo de cliente nuevo y 2,5% de cliente antiguo, solo sobre leads asignados expresamente en planilla.</w:t>
      </w:r>
    </w:p>
    <w:p>
      <w:pPr>
        <w:spacing w:after="60"/>
        <w:ind w:left="340"/>
      </w:pPr>
      <w:r>
        <w:rPr>
          <w:b/>
          <w:sz w:val="21"/>
        </w:rPr>
        <w:t xml:space="preserve">5. </w:t>
      </w:r>
      <w:r>
        <w:rPr>
          <w:b w:val="0"/>
          <w:sz w:val="21"/>
        </w:rPr>
        <w:t>PAUTA: presupuesto inicial de hasta UN MILLÓN DE PESOS ($1.000.000) mensuales, aprobado pieza a pieza por gerencia, revisable por resultados. El gasto de pauta lo asume la institución y no se descuenta de las comisiones.</w:t>
      </w:r>
    </w:p>
    <w:p>
      <w:pPr>
        <w:spacing w:after="60"/>
        <w:ind w:left="340"/>
      </w:pPr>
      <w:r>
        <w:rPr>
          <w:b/>
          <w:sz w:val="21"/>
        </w:rPr>
        <w:t xml:space="preserve">6. </w:t>
      </w:r>
      <w:r>
        <w:rPr>
          <w:b w:val="0"/>
          <w:sz w:val="21"/>
        </w:rPr>
        <w:t>CORTES DE LIQUIDACIÓN: 30 de septiembre y 5 de octubre de 2026; en adelante, cortes mensuales al último día del mes. Pago conforme a la cláusula TERCERA del contrato (cuenta de cobro, 5 días hábiles, retracto vencido, clawback).</w:t>
      </w:r>
    </w:p>
    <w:p>
      <w:pPr>
        <w:spacing w:after="60"/>
        <w:ind w:left="340"/>
      </w:pPr>
      <w:r>
        <w:rPr>
          <w:b/>
          <w:sz w:val="21"/>
        </w:rPr>
        <w:t xml:space="preserve">7. </w:t>
      </w:r>
      <w:r>
        <w:rPr>
          <w:b w:val="0"/>
          <w:sz w:val="21"/>
        </w:rPr>
        <w:t>VENTAS DEL CUPO 21 EN ADELANTE: comisionan igual, a la tarifa plena vigente, con la única excepción escrita de pago de contado completo el mismo día (precio de lanzamiento). Prohibido ofrecer precio de lanzamiento con el contador en 20, salvo esa excepción.</w:t>
      </w:r>
    </w:p>
    <w:p/>
    <w:p/>
    <w:p>
      <w:pPr>
        <w:spacing w:after="80"/>
      </w:pPr>
      <w:r>
        <w:rPr>
          <w:b w:val="0"/>
          <w:sz w:val="21"/>
        </w:rPr>
        <w:t>Para constancia se firma en Bucaramanga, a los ____ días del mes de _____________ de 2026.</w:t>
      </w:r>
    </w:p>
    <w:p/>
    <w:p>
      <w:pPr>
        <w:spacing w:after="80"/>
      </w:pPr>
      <w:r>
        <w:rPr>
          <w:b w:val="0"/>
          <w:sz w:val="21"/>
        </w:rPr>
        <w:t>EL CONTRATANTE:                                                        EL (LA) CONTRATISTA:</w:t>
      </w:r>
    </w:p>
    <w:p/>
    <w:p>
      <w:pPr>
        <w:spacing w:after="80"/>
      </w:pPr>
      <w:r>
        <w:rPr>
          <w:b w:val="0"/>
          <w:sz w:val="21"/>
        </w:rPr>
        <w:t>_____________________________                                _____________________________</w:t>
      </w:r>
    </w:p>
    <w:p>
      <w:pPr>
        <w:spacing w:after="80"/>
      </w:pPr>
      <w:r>
        <w:rPr>
          <w:b w:val="0"/>
          <w:sz w:val="21"/>
        </w:rPr>
        <w:t>DIANA MARCELA GÓMEZ RANGEL                              Nombre: ________________________</w:t>
      </w:r>
    </w:p>
    <w:p>
      <w:pPr>
        <w:spacing w:after="80"/>
      </w:pPr>
      <w:r>
        <w:rPr>
          <w:b w:val="0"/>
          <w:sz w:val="21"/>
        </w:rPr>
        <w:t>C.C. 63.552.709 de Bucaramanga                                 C.C. ______________________________</w:t>
      </w:r>
    </w:p>
    <w:p>
      <w:pPr>
        <w:spacing w:after="80"/>
      </w:pPr>
      <w:r>
        <w:rPr>
          <w:b w:val="0"/>
          <w:sz w:val="21"/>
        </w:rPr>
        <w:t>Representante Legal — GLOBAL TEACHER S.A.S.</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