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after="40"/>
      </w:pPr>
      <w:r>
        <w:rPr>
          <w:b/>
          <w:color w:val="E54C09"/>
          <w:sz w:val="23"/>
        </w:rPr>
        <w:t>CAMBIO 22 — ACLARACIONES QUE SALEN DEL CONTRATO DE MATRÍCULA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Preguntas sobre condiciones que están en el contrato: tarjeta de crédito, grupo que no abre, codeudor, certificados, menores en paquete, recuperar una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12 nueva de la base: tarjeta = contado con beca de contado y SIN recargo (nunca mencionar recargos por medio de pago) · grupo que no abre = el cliente elige otra jornada, precio congelado para la siguiente cohorte o devolución total del abono (solo si lo pregunta; nunca se anuncia de entrada) · codeudor = no aplica en contado, cesantías ni crédito externo; en el plan directo hay pagaré y en la asesoría se define · certificado oficial por nivel aprobado, entregado estando al día · menores solo sabatino, nivel individual, con acudiente; el paquete es desde 17 · recuperaciones: hasta 2 al mes en el sabatino, con un día de aviso.</w:t>
            </w:r>
          </w:p>
        </w:tc>
      </w:tr>
    </w:tbl>
    <w:p>
      <w:pPr>
        <w:spacing w:before="40" w:after="40"/>
      </w:pPr>
      <w:r>
        <w:rPr>
          <w:i/>
          <w:sz w:val="19"/>
        </w:rPr>
        <w:t>Regla para el asistente: el asistente afirma solo lo que el contrato dice; lo que dependa del caso (codeudor, plan de pagos) se remite a la asesoría.</w:t>
      </w:r>
    </w:p>
    <w:p>
      <w:pPr>
        <w:spacing w:before="200" w:after="40"/>
      </w:pPr>
      <w:r>
        <w:rPr>
          <w:b/>
          <w:color w:val="E54C09"/>
          <w:sz w:val="23"/>
        </w:rPr>
        <w:t>CAMBIO 23 — LA MARCA ES HEIIU, NO GLOBAL TEACHER (para la ronda 2)</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Cómo se nombra la academia en la conversación.</w:t>
            </w:r>
          </w:p>
        </w:tc>
      </w:tr>
      <w:tr>
        <w:tc>
          <w:tcPr>
            <w:tcW w:type="dxa" w:w="1928"/>
            <w:shd w:val="clear" w:color="auto" w:fill="FFF8E7"/>
          </w:tcPr>
          <w:p>
            <w:pPr>
              <w:spacing w:after="0"/>
            </w:pPr>
            <w:r>
              <w:rPr>
                <w:b/>
                <w:sz w:val="19"/>
              </w:rPr>
              <w:t>Lo que dice hoy</w:t>
            </w:r>
          </w:p>
        </w:tc>
        <w:tc>
          <w:tcPr>
            <w:tcW w:type="dxa" w:w="7710"/>
          </w:tcPr>
          <w:p>
            <w:pPr>
              <w:spacing w:after="0"/>
            </w:pPr>
            <w:r>
              <w:rPr>
                <w:sz w:val="19"/>
              </w:rPr>
              <w:t>Riesgo: que el asistente se presente como "Global Teacher" porque la razón social aparece en los documentos.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El asistente siempre dice "Heiiu" o "Heiiu English Academy". "Global Teacher S.A.S." solo aparece en contratos, facturas y documentos legales. Si el cliente pregunta: "Heiiu es la marca de Global Teacher S.A.S.; somos la misma institución."</w:t>
            </w:r>
          </w:p>
        </w:tc>
      </w:tr>
    </w:tbl>
    <w:p>
      <w:pPr>
        <w:spacing w:before="40" w:after="40"/>
      </w:pPr>
      <w:r>
        <w:rPr>
          <w:i/>
          <w:sz w:val="19"/>
        </w:rPr>
        <w:t>Regla para el asistente: regla 0 de la base de conocimiento.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