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el primer año del estudiante, 3% el segundo,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y fundaciones;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sus primeros doce (12) meses y tres por ciento (3%) de los que realice entre los meses trece (13) y veinticuatro (24); a partir del mes veinticinco (25) del estudiante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del mes (cláusula 8),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$48.000.000 en el trimestre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y, en los meses 1 a 3, tres (3) activaciones de alianzas; desde el mes 4, al menos una activación por trimestre por cada alianza activa. Resultados mínimos del primer trimestre: mes 1, dos (2) firmas; mes 2, cuatro (4) firmas y cinco (5) cupos acumulados; mes 3, seis (6) firmas y diez (10) cupos acumulados.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w:t>
      </w:r>
      <w:r>
        <w:t>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