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(uno por código, en el archivo ENLACES_CODIGOS.txt junto a los QR)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intención es que la asesora ayude a gestionar una matrícula rápida.</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agenda la cita. Cierra él o la pasa a la asesora comercial.</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el gerente de alianzas no puede ofrecer ni hacer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Aportar él mismo dinero, bonos o regalos a una asesora.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Lista de códigos por asesora (sin nombres en la lista que circula) y un QR por código, impreso y por WhatsApp.</w:t>
            </w:r>
          </w:p>
        </w:tc>
        <w:tc>
          <w:tcPr>
            <w:tcW w:type="dxa" w:w="2721"/>
          </w:tcPr>
          <w:p>
            <w:pPr>
              <w:spacing w:after="0"/>
            </w:pPr>
            <w:r>
              <w:rPr>
                <w:b w:val="0"/>
                <w:sz w:val="16"/>
              </w:rPr>
              <w:t>Gerente de alianzas la lista; gerencia los QR</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