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v2 consolidada,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documento, incluidas las dudas resueltas del equipo.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p>
      <w:pPr>
        <w:spacing w:after="60"/>
      </w:pPr>
      <w:r>
        <w:rPr>
          <w:b/>
          <w:sz w:val="24"/>
        </w:rPr>
        <w:t>OJO: lista de espera exige un obstáculo REAL con FECHA ("me pagan la prima en diciembre", "mi grupo abre en enero") + recontacto agendado. El test: ¿puedo escribir una fecha al lado de este nombre? Sí = lista de espera. No = es un "lo voy a pensar" → se trabaja la objeción, y si no cierra, es la salida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de Graduación al terminar A2 — a ELECCIÓN (ver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PREGUNTA OBLIGADA al registrar preferencia (suena a servicio, no a alarma): "¿Tu horario es fijo o tienes flexibilidad entre mañana y noche?" — se anota FLEXIBLE o SOLO MAÑANA / SOLO NOCHE. JAMÁS se le dice al cliente que su grupo "podría no abrir".</w:t>
      </w:r>
    </w:p>
    <w:p>
      <w:pPr>
        <w:spacing w:after="60"/>
      </w:pPr>
      <w:r>
        <w:rPr>
          <w:b w:val="0"/>
          <w:sz w:val="24"/>
        </w:rPr>
        <w:t>· Al de horario fijo se le vende SEGURIDAD, no riesgo (al firmar): "Tu cupo queda asegurado en TU jornada. Y tu plata está protegida siempre: si algo cambiara en la programación, tu precio queda congelado o te devolvemos tu abono completo — jamás te movemos de horario sin tu sí."</w:t>
      </w:r>
    </w:p>
    <w:p>
      <w:pPr>
        <w:spacing w:after="60"/>
      </w:pPr>
      <w:r>
        <w:rPr>
          <w:b w:val="0"/>
          <w:sz w:val="24"/>
        </w:rPr>
        <w:t>· Cada jornada abre con grupo mínimo (6) — ese dato es INTERNO: la consolidación la decide gerencia al cierre de cupos, viendo el tablero de flexibles. La asesora nunca gestiona eso en la cita.</w:t>
      </w:r>
    </w:p>
    <w:p>
      <w:pPr>
        <w:spacing w:after="60"/>
      </w:pPr>
      <w:r>
        <w:rPr>
          <w:b/>
          <w:sz w:val="24"/>
        </w:rPr>
        <w:t>· Y para ti: la comisión sigue a la plata. Si un grupo no abre y un abono se devuelve, esa comisión se descuenta como cualquier devolución. Por eso tu juego es completar UN grupo rápido: es la forma de que la plata se quede. El contador es tu cierre: "a la noche le faltan 2 para abrir — tu abono de hoy es el que la abre".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p>
      <w:pPr>
        <w:spacing w:after="60"/>
      </w:pPr>
      <w:r>
        <w:rPr>
          <w:b/>
          <w:sz w:val="24"/>
        </w:rPr>
        <w:t>SIEMPRE se presenta PRIMERO el programa completo (el ancla alta) y el Arranque de segundo (la red). El cierre doble ES la escalera: son los escalones 1 y 2 ofrecidos juntos — la escalera sigue aplicando si hay un NO a ambos.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te comprometes hoy con el programa completo — con tu beca queda en [tarjeta], sales con B2 y te ahorras más de un millón — o arrancas con A1+A2 por $2.990.000 y decides después.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escalera de cierre —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con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(número exacto: tabla en pesos, sección 3)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motivo REAL del no + teléfono, a la base de rescate — la tanda de rescate llama con el motivo en la mano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Las dos trampas: (1) jamás ARRANCAR abajo — quien abre ofreciendo sabatino nunca vende un completo; (2) jamás bajar rápido — le enseñas al cliente que esperando consigue menos precio.</w:t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video corto de práctica todos los días — en A1 basta un minuto — y lo envías ese mismo día a la academia. Nadie de tu clase lo ve. Ese portafolio es tu póliza: es lo que respalda tu garantía, y es donde TÚ mismo vas a ver tu cambio mes a mes. La garantía y el video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video diario nace como parte del trato ANTES de firmar. El que firma la garantía firma su evidencia — nunca es sorpresa del profesor en la semana 2. Mínimos por nivel: A1 1 min · A2 2 min · B1 3 min · B2 5 min, de corrido y sin leer.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CAMINO EN 3 PASOS (antes de mirar cualquier tabla)</w:t>
      </w:r>
    </w:p>
    <w:p>
      <w:pPr>
        <w:spacing w:after="60"/>
      </w:pPr>
      <w:r>
        <w:rPr>
          <w:b/>
          <w:sz w:val="24"/>
        </w:rPr>
        <w:t>1. ¿Es sabatino o nivel suelto? → precio del nivel, sin beca del Fondo. Fin del camino.</w:t>
      </w:r>
    </w:p>
    <w:p>
      <w:pPr>
        <w:spacing w:after="60"/>
      </w:pPr>
      <w:r>
        <w:rPr>
          <w:b/>
          <w:sz w:val="24"/>
        </w:rPr>
        <w:t>2. Si es paquete: ¿QUIÉN es? → su columna. ¿QUÉ paquete y contado o cuotas? → su fila. Esa celda es su beca.</w:t>
      </w:r>
    </w:p>
    <w:p>
      <w:pPr>
        <w:spacing w:after="60"/>
      </w:pPr>
      <w:r>
        <w:rPr>
          <w:b/>
          <w:sz w:val="24"/>
        </w:rPr>
        <w:t>3. Si paga a cuotas: ¿intensivo o súper intensivo? → eso da el MÁXIMO de cuotas. La cuota exacta la saca el motor de cuotas, nunca de memoria.</w:t>
      </w:r>
    </w:p>
    <w:p>
      <w:pPr>
        <w:spacing w:after="60"/>
      </w:pPr>
      <w:r>
        <w:rPr>
          <w:b w:val="0"/>
          <w:sz w:val="24"/>
        </w:rPr>
        <w:t>La modalidad NO cambia la beca: solo cambia cuántas cuotas caben, porque el estudiante termina de pagar antes de terminar el programa. Menos cuotas que el máximo siempre se puede — y paga menos interés. Más cuotas que el máximo, nunca.</w:t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/>
          <w:sz w:val="24"/>
        </w:rPr>
        <w:t>· AFILIADO A CAJASAN (carné o certificado vigente): TRANSFORMACIÓN, sin importar su estrato — es la alianza registrada con Cajasan.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el precio depende de la forma de pago (contado 20% menos · cuotas 10% menos + interés · afiliado Cajasan 30% menos). Se dice "precio de contado", nunca "descuento".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cuotas, SIN interés; el interés del crédito directo se suma en la tabla de cuota tipo (abajo). Al cliente se le da el plan completo: inicial + número de cuotas + valor de cada cuota.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/>
          <w:sz w:val="24"/>
        </w:rPr>
        <w:t>BENEFICIO DEL CONVENIO: el afiliado a Cajasan entra a la columna TRANSFORMACIÓN en todos los paquetes (completo: 45% de contado / 36% a cuotas), sin importar su estrato. Nivel suelto: 30% de contado. El Arranque no tiene beca. Se verifica con carné o certificado de afiliación vigente.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tarjeta débito, o efectivo ÚNICAMENTE en la sede con recibo.</w:t>
      </w:r>
    </w:p>
    <w:p>
      <w:pPr>
        <w:spacing w:after="60"/>
      </w:pPr>
      <w:r>
        <w:rPr>
          <w:b w:val="0"/>
          <w:sz w:val="24"/>
        </w:rPr>
        <w:t>2. CESANTÍAS: el cheque de cesantías cuenta como pago de CONTADO (aplica la beca de contado). Abono de separación de $300.000 hoy congela cupo y precio; el cheque debe entregarse dentro de los 10 días hábiles siguientes y siempre antes del inicio de clases.</w:t>
      </w:r>
    </w:p>
    <w:p>
      <w:pPr>
        <w:spacing w:after="60"/>
      </w:pPr>
      <w:r>
        <w:rPr>
          <w:b w:val="0"/>
          <w:sz w:val="24"/>
        </w:rPr>
        <w:t>3. CRÉDITO DE UN TERCERO (Comultrasan, banco, financiera): también cuenta como CONTADO — a la academia le entra el 100% y el cliente le debe a la entidad. Misma regla: abono de $300.000 hoy, desembolso completo en máximo 10 días hábiles. Si el crédito es negado o no llega a tiempo, el cliente paga por otro medio a la tarifa que corresponda, o su abono queda como saldo a favor (nunca devolución en efectivo).</w:t>
      </w:r>
    </w:p>
    <w:p>
      <w:pPr>
        <w:spacing w:after="60"/>
      </w:pPr>
      <w:r>
        <w:rPr>
          <w:b w:val="0"/>
          <w:sz w:val="24"/>
        </w:rPr>
        <w:t>4. TARJETA DE CRÉDITO del cliente: cuenta como pago de contado (aplica la beca de contado) y él difiere con su banco. No se cobra ningún recargo por pagar con tarjeta: la ley no lo permite.</w:t>
      </w:r>
    </w:p>
    <w:p>
      <w:pPr>
        <w:spacing w:after="60"/>
      </w:pPr>
      <w:r>
        <w:rPr>
          <w:b/>
          <w:sz w:val="24"/>
        </w:rPr>
        <w:t>5.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video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5.  DUDAS RESUELTAS — DOCTRINA OFICIAL</w:t>
      </w:r>
    </w:p>
    <w:p>
      <w:pPr>
        <w:spacing w:after="60"/>
      </w:pPr>
      <w:r>
        <w:rPr>
          <w:b/>
          <w:sz w:val="24"/>
        </w:rPr>
        <w:t>Estas son las dudas que ya preguntó el equipo y su respuesta oficial. Si tu duda no está aquí, se pregunta a gerencia y la respuesta entra a este kit.</w:t>
      </w:r>
    </w:p>
    <w:p>
      <w:pPr>
        <w:spacing w:before="140" w:after="60"/>
      </w:pPr>
      <w:r>
        <w:rPr>
          <w:b/>
          <w:color w:val="222222"/>
          <w:sz w:val="27"/>
        </w:rPr>
        <w:t>1. ¿Cuándo es GENERAL y cuándo EJECUTIVO?</w:t>
      </w:r>
    </w:p>
    <w:p>
      <w:pPr>
        <w:spacing w:after="60"/>
      </w:pPr>
      <w:r>
        <w:rPr>
          <w:b w:val="0"/>
          <w:sz w:val="24"/>
        </w:rPr>
        <w:t>El test es uno solo: ¿QUIÉN PAGA LA FACTURA? Paga una empresa, o pide factura a nombre de empresa o reembolso corporativo → EJECUTIVO (techo 15%). Persona natural que paga de su bolsillo → GENERAL (techo 32%), sin importar su cargo, su ropa o su carro. Estrato 1-2 o SISBÉN con soporte → TRANSFORMACIÓN (techo 45%).</w:t>
      </w:r>
    </w:p>
    <w:p>
      <w:pPr>
        <w:spacing w:after="60"/>
      </w:pPr>
      <w:r>
        <w:rPr>
          <w:b/>
          <w:sz w:val="24"/>
        </w:rPr>
        <w:t>Nunca se clasifica por pinta ni por cargo: se clasifica por la factura. Y al Ejecutivo no se le vende beca — se le vende conveniencia: certificación, garantía firmada, factura para su empresa, avance medido. Su 15% es un gesto, no el argumento.</w:t>
      </w:r>
    </w:p>
    <w:p>
      <w:pPr>
        <w:spacing w:before="140" w:after="60"/>
      </w:pPr>
      <w:r>
        <w:rPr>
          <w:b/>
          <w:color w:val="222222"/>
          <w:sz w:val="27"/>
        </w:rPr>
        <w:t>2. Empleado de empresa aliada (Go Above and Beyond): ¿qué beca le aplica?</w:t>
      </w:r>
    </w:p>
    <w:p>
      <w:pPr>
        <w:spacing w:after="60"/>
      </w:pPr>
      <w:r>
        <w:rPr>
          <w:b w:val="0"/>
          <w:sz w:val="24"/>
        </w:rPr>
        <w:t>Mismo test, más un dato: ¿cuánto gana? · La empresa paga la factura → EJECUTIVO 15%. · El empleado paga de su bolsillo Y gana hasta 1.5 SMMLV → con carta de su empresa aliada + desprendible de nómina → TRANSFORMACIÓN 45%, dentro de los cupos del Fondo. · Gana más de 1.5 SMMLV y paga de su bolsillo → GENERAL 32% + beneficio de convenio (paga a cuotas con el porcentaje de contado).</w:t>
      </w:r>
    </w:p>
    <w:p>
      <w:pPr>
        <w:spacing w:after="60"/>
      </w:pPr>
      <w:r>
        <w:rPr>
          <w:b/>
          <w:sz w:val="24"/>
        </w:rPr>
        <w:t>El ARRANQUE no tiene becas: precio único $2.990.000 para todos, aliados incluidos. Los beneficios nunca se acumulan: se aplica el mejor.</w:t>
      </w:r>
    </w:p>
    <w:p>
      <w:pPr>
        <w:spacing w:before="140" w:after="60"/>
      </w:pPr>
      <w:r>
        <w:rPr>
          <w:b/>
          <w:color w:val="222222"/>
          <w:sz w:val="27"/>
        </w:rPr>
        <w:t>3. ¿La comisión aplica a ventas corporativas?</w:t>
      </w:r>
    </w:p>
    <w:p>
      <w:pPr>
        <w:spacing w:after="60"/>
      </w:pPr>
      <w:r>
        <w:rPr>
          <w:b w:val="0"/>
          <w:sz w:val="24"/>
        </w:rPr>
        <w:t>Sí. La venta es la venta, venga de donde venga: mismo esquema para una matrícula individual, un Arranque, un becado de empresa aliada o un contrato corporativo. Sin recaudo no hay comisión — cobrar también es vender.</w:t>
      </w:r>
    </w:p>
    <w:p>
      <w:pPr>
        <w:spacing w:before="140" w:after="60"/>
      </w:pPr>
      <w:r>
        <w:rPr>
          <w:b/>
          <w:color w:val="222222"/>
          <w:sz w:val="27"/>
        </w:rPr>
        <w:t>4. ¿Qué se dice del contador cuando no se ha vendido nada?</w:t>
      </w:r>
    </w:p>
    <w:p>
      <w:pPr>
        <w:spacing w:after="60"/>
      </w:pPr>
      <w:r>
        <w:rPr>
          <w:b w:val="0"/>
          <w:sz w:val="24"/>
        </w:rPr>
        <w:t>Jamás "quedan 20 de 20": eso anuncia que nadie ha comprado. El contador tiene tres etapas y las tres son verdad: · 0 vendidos → "Acaban de abrirse los 20 cupos del lanzamiento." · 1 a 4 → "Los cupos ya se están asignando." · 5 o más → el número real: "Vamos 8 de 20."</w:t>
      </w:r>
    </w:p>
    <w:p>
      <w:pPr>
        <w:spacing w:after="60"/>
      </w:pPr>
      <w:r>
        <w:rPr>
          <w:b/>
          <w:sz w:val="24"/>
        </w:rPr>
        <w:t>La regla que no cambia: jamás inventar el número.</w:t>
      </w:r>
    </w:p>
    <w:p>
      <w:pPr>
        <w:spacing w:before="140" w:after="60"/>
      </w:pPr>
      <w:r>
        <w:rPr>
          <w:b/>
          <w:color w:val="222222"/>
          <w:sz w:val="27"/>
        </w:rPr>
        <w:t>5. EL PACTO: la verdad que se dice ANTES de firmar</w:t>
      </w:r>
    </w:p>
    <w:p>
      <w:pPr>
        <w:spacing w:after="60"/>
      </w:pPr>
      <w:r>
        <w:rPr>
          <w:b/>
          <w:sz w:val="24"/>
        </w:rPr>
        <w:t>Para TODOS: jamás prometer fácil, rápido ni divertido. Se promete el método, el respaldo y la garantía — a cambio del trabajo del estudiante.</w:t>
      </w:r>
    </w:p>
    <w:p>
      <w:pPr>
        <w:spacing w:after="60"/>
      </w:pPr>
      <w:r>
        <w:rPr>
          <w:b w:val="0"/>
          <w:sz w:val="24"/>
        </w:rPr>
        <w:t>La charla completa es solo para el cliente QUEMADO, el que ya intentó y fracasó (se detecta con "¿has estudiado inglés antes? ¿cómo te fue?"). Al que llega limpio no se le receta un trauma que no tiene.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"Te voy a ser honesta: esto NO es fácil. Vas a tener días de no querer venir, tareas que fastidian, audios que te van a dar pena grabar. El inglés no se aprende suave: se entrena, como un deporte. Y si llevas años intentándolo y no has podido, el problema nunca fuiste tú — fue el método. Aquí es al revés: de pie, hablando desde el día uno. Por eso somos los únicos que firmamos garantía: si TÚ pones el trabajo, y no avanzas, te devolvemos la plata. Ese es el trato."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Por qué así: el que firma advertido no deserta en la semana 3 ni pide devolución; la dureza honesta hace creíble la garantía; y filtra al comprador correcto.</w:t>
      </w:r>
    </w:p>
    <w:p>
      <w:pPr>
        <w:spacing w:before="140" w:after="60"/>
      </w:pPr>
      <w:r>
        <w:rPr>
          <w:b/>
          <w:color w:val="222222"/>
          <w:sz w:val="27"/>
        </w:rPr>
        <w:t>6. ¿El afiliado a Cajasan recibe el 45%?</w:t>
      </w:r>
    </w:p>
    <w:p>
      <w:pPr>
        <w:spacing w:after="60"/>
      </w:pPr>
      <w:r>
        <w:rPr>
          <w:b w:val="0"/>
          <w:sz w:val="24"/>
        </w:rPr>
        <w:t>SÍ. El afiliado a Cajasan entra a la columna TRANSFORMACIÓN en todos los paquetes, sin importar su estrato: en el completo, 45% de contado y 36% a cuotas; en los parciales, la columna Transformación de la matriz. Nivel suelto: 30% de contado. Arranque: sin beca. Es la alianza registrada con Cajasan y se verifica con carné o certificado vigente. (Regla vigente desde el 24/09/2026; reemplaza la anterior.)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"Por ser afiliado a Cajasan entras a la beca más alta del Fondo."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7. "Te doy un abono, pero necesito el crédito de la cooperativa"</w:t>
      </w:r>
    </w:p>
    <w:p>
      <w:pPr>
        <w:spacing w:after="60"/>
      </w:pPr>
      <w:r>
        <w:rPr>
          <w:b w:val="0"/>
          <w:sz w:val="24"/>
        </w:rPr>
        <w:t>El crédito de un tercero y el cheque de cesantías cuentan como contado (sección 3, escalera de pago): abono de $300.000 hoy congela cupo y precio, desembolso completo en máximo 10 días hábiles y siempre antes del inicio de clases. Si no llega a tiempo o es negado: paga por otro medio a la tarifa que corresponda, o su abono queda como saldo a favor para cualquier programa. Nunca devolución en efectivo.</w:t>
      </w:r>
    </w:p>
    <w:p>
      <w:pPr>
        <w:spacing w:before="140" w:after="60"/>
      </w:pPr>
      <w:r>
        <w:rPr>
          <w:b/>
          <w:color w:val="222222"/>
          <w:sz w:val="27"/>
        </w:rPr>
        <w:t>8. ¿Se puede matricular a alguien sin que venga a la sede?</w:t>
      </w:r>
    </w:p>
    <w:p>
      <w:pPr>
        <w:spacing w:after="60"/>
      </w:pPr>
      <w:r>
        <w:rPr>
          <w:b w:val="0"/>
          <w:sz w:val="24"/>
        </w:rPr>
        <w:t>La matrícula tiene DOS momentos, y solo el primero es digital:</w:t>
      </w:r>
    </w:p>
    <w:p>
      <w:pPr>
        <w:spacing w:after="60"/>
      </w:pPr>
      <w:r>
        <w:rPr>
          <w:b w:val="0"/>
          <w:sz w:val="24"/>
        </w:rPr>
        <w:t>· SEPARACIÓN (100% digital): abono a las cuentas de la academia + el cliente envía el PANTALLAZO del comprobante de la transferencia y la foto de su cédula + acepta por escrito el recibo de separación ("ACEPTO las condiciones del recibo No. X") + se agenda en el mismo acto su sesión de ubicación. La academia confirma que el dinero entró; solo entonces el cupo queda separado. Eso congela cupo y precio, y tiene plena validez legal.</w:t>
      </w:r>
    </w:p>
    <w:p>
      <w:pPr>
        <w:spacing w:after="60"/>
      </w:pPr>
      <w:r>
        <w:rPr>
          <w:b w:val="0"/>
          <w:sz w:val="24"/>
        </w:rPr>
        <w:t>· FORMALIZACIÓN (siempre en la sede): contrato de matrícula firmado en físico, a más tardar el día de la sesión de ubicación. El efectivo solo se recibe en la sede, con recibo.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chat asegura el cupo; la sede firma el contrato.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9. La planilla: si no aparecen las listas desplegables</w:t>
      </w:r>
    </w:p>
    <w:p>
      <w:pPr>
        <w:spacing w:after="60"/>
      </w:pPr>
      <w:r>
        <w:rPr>
          <w:b w:val="0"/>
          <w:sz w:val="24"/>
        </w:rPr>
        <w:t>La flecha solo aparece al hacer clic EN la celda. Y si el archivo llegó por WhatsApp o descarga, Excel lo abre en "Vista protegida": hay que darle a "Habilitar edición" para que las listas funcionen.</w:t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