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2"/>
        </w:rPr>
        <w:t>GO ABOVE AND BEYOND — CONDICIONES DE LOS PROGRAMAS</w:t>
      </w:r>
    </w:p>
    <w:p>
      <w:pPr>
        <w:jc w:val="center"/>
      </w:pPr>
      <w:r>
        <w:rPr>
          <w:color w:val="777777"/>
          <w:sz w:val="20"/>
        </w:rPr>
        <w:t>Uso interno — es lo que se presenta EN la reunión con la empresa · v1 14/09/2026 · Convenios: los firma gerencia</w:t>
      </w:r>
    </w:p>
    <w:p/>
    <w:p>
      <w:pPr>
        <w:spacing w:before="160" w:after="80"/>
      </w:pPr>
      <w:r>
        <w:rPr>
          <w:b/>
          <w:color w:val="E54C09"/>
          <w:sz w:val="27"/>
        </w:rPr>
        <w:t>1. HEIIU BUSINESS PARTNER (becas para su equipo)</w:t>
      </w:r>
    </w:p>
    <w:p>
      <w:pPr>
        <w:spacing w:after="80"/>
      </w:pPr>
      <w:r>
        <w:rPr>
          <w:b w:val="0"/>
          <w:sz w:val="22"/>
        </w:rPr>
        <w:t>· Colaborador con ingresos hasta 1.5 SMMLV + carta de la empresa + desprendible de nómina = soporte válido para la BECA TRANSFORMACIÓN (techo 45%), dentro de los cupos trimestrales del Fondo.</w:t>
      </w:r>
    </w:p>
    <w:p>
      <w:pPr>
        <w:spacing w:after="80"/>
      </w:pPr>
      <w:r>
        <w:rPr>
          <w:b w:val="0"/>
          <w:sz w:val="22"/>
        </w:rPr>
        <w:t>· Los demás colaboradores de la empresa aliada reciben el BENEFICIO DE CONVENIO: pagan a cuotas con el porcentaje de contado de su perfil.</w:t>
      </w:r>
    </w:p>
    <w:p>
      <w:pPr>
        <w:spacing w:after="80"/>
      </w:pPr>
      <w:r>
        <w:rPr>
          <w:b/>
          <w:sz w:val="22"/>
        </w:rPr>
        <w:t>· REGLA DEL MEJOR BENEFICIO: los beneficios nunca se acumulan — si el colaborador califica a una beca superior del Fondo por su propio perfil, se le aplica la mejor.</w:t>
      </w:r>
    </w:p>
    <w:p>
      <w:pPr>
        <w:spacing w:after="80"/>
      </w:pPr>
      <w:r>
        <w:rPr>
          <w:b w:val="0"/>
          <w:sz w:val="22"/>
        </w:rPr>
        <w:t>· Todo pasa por el Reglamento del Fondo de Becas (administrado y auditado por contaduría externa): la empresa no paga nada; el colaborador paga su programa con su beca aplicada.</w:t>
      </w:r>
    </w:p>
    <w:p>
      <w:pPr>
        <w:spacing w:after="80"/>
      </w:pPr>
      <w:r>
        <w:rPr>
          <w:b w:val="0"/>
          <w:sz w:val="22"/>
        </w:rPr>
        <w:t>· Compromisos de la empresa: designar un contacto de RRHH, emitir las cartas de postulación y difundir el beneficio internamente.</w:t>
      </w:r>
    </w:p>
    <w:p>
      <w:pPr>
        <w:spacing w:before="160" w:after="80"/>
      </w:pPr>
      <w:r>
        <w:rPr>
          <w:b/>
          <w:color w:val="E54C09"/>
          <w:sz w:val="27"/>
        </w:rPr>
        <w:t>2. HEIIU STUDENT PARTNER (vitrina de egresados)</w:t>
      </w:r>
    </w:p>
    <w:p>
      <w:pPr>
        <w:spacing w:after="80"/>
      </w:pPr>
      <w:r>
        <w:rPr>
          <w:b w:val="0"/>
          <w:sz w:val="22"/>
        </w:rPr>
        <w:t>· Qué es DESTACADO: nivel aprobado con evaluador externo + portafolio completo del programa (incluido su video de presentación en inglés) + concepto académico favorable.</w:t>
      </w:r>
    </w:p>
    <w:p>
      <w:pPr>
        <w:spacing w:after="80"/>
      </w:pPr>
      <w:r>
        <w:rPr>
          <w:b w:val="0"/>
          <w:sz w:val="22"/>
        </w:rPr>
        <w:t>· Cuando la empresa abra vacantes que requieran inglés, Heiiu le presenta los perfiles destacados con su video — la empresa evalúa y decide.</w:t>
      </w:r>
    </w:p>
    <w:p>
      <w:pPr>
        <w:spacing w:after="80"/>
      </w:pPr>
      <w:r>
        <w:rPr>
          <w:b/>
          <w:sz w:val="22"/>
        </w:rPr>
        <w:t>· Sin costo, sin exclusividad y SIN obligación de contratación. Heiiu conecta talento verificado; no actúa como bolsa de empleo ni intermediario laboral.</w:t>
      </w:r>
    </w:p>
    <w:p>
      <w:pPr>
        <w:spacing w:after="80"/>
      </w:pPr>
      <w:r>
        <w:rPr>
          <w:b w:val="0"/>
          <w:sz w:val="22"/>
        </w:rPr>
        <w:t>· A los estudiantes JAMÁS se les promete empleo: la vitrina se comunica como una puerta que se abre al que se destaca — nunca como garantía.</w:t>
      </w:r>
    </w:p>
    <w:p>
      <w:pPr>
        <w:spacing w:before="160" w:after="80"/>
      </w:pPr>
      <w:r>
        <w:rPr>
          <w:b/>
          <w:color w:val="E54C09"/>
          <w:sz w:val="27"/>
        </w:rPr>
        <w:t>3. CANDADOS OPERATIVOS (internos — no se muestran a la empresa)</w:t>
      </w:r>
    </w:p>
    <w:p>
      <w:pPr>
        <w:spacing w:after="80"/>
      </w:pPr>
      <w:r>
        <w:rPr>
          <w:b/>
          <w:sz w:val="22"/>
        </w:rPr>
        <w:t>· Las cartas salen firmadas por el rol Corporate Partnerships Officer únicamente cuando su contrato (con cláusula de propiedad intelectual) esté FIRMADO.</w:t>
      </w:r>
    </w:p>
    <w:p>
      <w:pPr>
        <w:spacing w:after="80"/>
      </w:pPr>
      <w:r>
        <w:rPr>
          <w:b w:val="0"/>
          <w:sz w:val="22"/>
        </w:rPr>
        <w:t>· Todo convenio lo firma gerencia. El beneficio Transformación por empresa requiere el artículo 3.5 del Reglamento del Fondo (pendiente VoBo contaduría + abogado, en el mismo paquete del contrato de 30 cláusulas).</w:t>
      </w:r>
    </w:p>
    <w:p>
      <w:pPr>
        <w:spacing w:after="80"/>
      </w:pPr>
      <w:r>
        <w:rPr>
          <w:b w:val="0"/>
          <w:sz w:val="22"/>
        </w:rPr>
        <w:t>· Los empleados becados que lleguen a matricularse los atiende la asesora comercial como leads calientes (kit, módulo 8).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