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de pie,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de pie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audio o video corto en inglés todos los días. Es su portafolio de avance y el hábito que fija el idioma.</w:t>
      </w:r>
    </w:p>
    <w:p>
      <w:pPr>
        <w:spacing w:after="40"/>
        <w:ind w:left="283"/>
      </w:pPr>
      <w:r>
        <w:rPr>
          <w:sz w:val="21"/>
        </w:rPr>
        <w:t>· Avance medido: prueba de ubicación internacional (EF SET) antes de entrar,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mañana (8:00 a 12:00), noche (6:30 a 8:30 PM) y modalidad sabatina (8:00 AM a 12:00 M). Formatos intensivo (10 horas por semana) y súper intensivo (20 horas por semana).</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saludar, hablar de su rutina y su familia, mantener una conversación básica. Small talk.</w:t>
            </w:r>
          </w:p>
        </w:tc>
      </w:tr>
      <w:tr>
        <w:tc>
          <w:tcPr>
            <w:tcW w:type="dxa" w:w="2608"/>
            <w:shd w:val="clear" w:color="auto" w:fill="FFF8E7"/>
          </w:tcPr>
          <w:p>
            <w:pPr>
              <w:spacing w:after="0"/>
            </w:pPr>
            <w:r>
              <w:rPr>
                <w:b/>
                <w:sz w:val="19"/>
              </w:rPr>
              <w:t>A2 — Bases laborales</w:t>
            </w:r>
          </w:p>
        </w:tc>
        <w:tc>
          <w:tcPr>
            <w:tcW w:type="dxa" w:w="1020"/>
          </w:tcPr>
          <w:p>
            <w:pPr>
              <w:spacing w:after="0"/>
            </w:pPr>
            <w:r>
              <w:rPr>
                <w:sz w:val="19"/>
              </w:rPr>
              <w:t>110 h</w:t>
            </w:r>
          </w:p>
        </w:tc>
        <w:tc>
          <w:tcPr>
            <w:tcW w:type="dxa" w:w="6009"/>
          </w:tcPr>
          <w:p>
            <w:pPr>
              <w:spacing w:after="0"/>
            </w:pPr>
            <w:r>
              <w:rPr>
                <w:sz w:val="19"/>
              </w:rPr>
              <w:t>Inglés telefónico, describir su trabajo, pedir y dar información, trabajar en tareas colaborativas.</w:t>
            </w:r>
          </w:p>
        </w:tc>
      </w:tr>
      <w:tr>
        <w:tc>
          <w:tcPr>
            <w:tcW w:type="dxa" w:w="2608"/>
            <w:shd w:val="clear" w:color="auto" w:fill="FFF8E7"/>
          </w:tcPr>
          <w:p>
            <w:pPr>
              <w:spacing w:after="0"/>
            </w:pPr>
            <w:r>
              <w:rPr>
                <w:b/>
                <w:sz w:val="19"/>
              </w:rPr>
              <w:t>B1 — Comunicación profesional</w:t>
            </w:r>
          </w:p>
        </w:tc>
        <w:tc>
          <w:tcPr>
            <w:tcW w:type="dxa" w:w="1020"/>
          </w:tcPr>
          <w:p>
            <w:pPr>
              <w:spacing w:after="0"/>
            </w:pPr>
            <w:r>
              <w:rPr>
                <w:sz w:val="19"/>
              </w:rPr>
              <w:t>175 h</w:t>
            </w:r>
          </w:p>
        </w:tc>
        <w:tc>
          <w:tcPr>
            <w:tcW w:type="dxa" w:w="6009"/>
          </w:tcPr>
          <w:p>
            <w:pPr>
              <w:spacing w:after="0"/>
            </w:pPr>
            <w:r>
              <w:rPr>
                <w:sz w:val="19"/>
              </w:rPr>
              <w:t>Entrevistas simuladas, presentaciones, negociación, debate, pitch. Desenvolverse en un entorno laboral en inglés.</w:t>
            </w:r>
          </w:p>
        </w:tc>
      </w:tr>
      <w:tr>
        <w:tc>
          <w:tcPr>
            <w:tcW w:type="dxa" w:w="2608"/>
            <w:shd w:val="clear" w:color="auto" w:fill="FFF8E7"/>
          </w:tcPr>
          <w:p>
            <w:pPr>
              <w:spacing w:after="0"/>
            </w:pPr>
            <w:r>
              <w:rPr>
                <w:b/>
                <w:sz w:val="19"/>
              </w:rPr>
              <w:t>B2 — Dominio profesional</w:t>
            </w:r>
          </w:p>
        </w:tc>
        <w:tc>
          <w:tcPr>
            <w:tcW w:type="dxa" w:w="1020"/>
          </w:tcPr>
          <w:p>
            <w:pPr>
              <w:spacing w:after="0"/>
            </w:pPr>
            <w:r>
              <w:rPr>
                <w:sz w:val="19"/>
              </w:rPr>
              <w:t>200 h</w:t>
            </w:r>
          </w:p>
        </w:tc>
        <w:tc>
          <w:tcPr>
            <w:tcW w:type="dxa" w:w="6009"/>
          </w:tcPr>
          <w:p>
            <w:pPr>
              <w:spacing w:after="0"/>
            </w:pPr>
            <w:r>
              <w:rPr>
                <w:sz w:val="19"/>
              </w:rPr>
              <w:t>Presentaciones persuasivas, mediación, entrevistas por competencias, LinkedIn en inglés. Nivel para trabajar o estudiar en inglés.</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