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Período de prueba y tipo de contrato: indicar lo recomendable para este cargo.</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y fundaciones;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recaudado en el mes anterior, no tienen tope y constituyen salario.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del mes (cláusula 8),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y, en los meses 1 a 3, tres (3) activaciones de alianzas; desde el mes 4, al menos una activación por trimestre por cada alianza activa. Resultados mínimos del primer trimestre: mes 1, dos (2) firmas y ventas firmadas por treinta millones de pesos ($30.000.000); mes 2, cuatro (4) firmas y ventas firmadas acumuladas por sesenta millones de pesos ($60.000.000); mes 3, seis (6) firmas y ventas firmadas acumuladas por noventa millones de pesos ($90.000.000). Únicamente para el primer mes, los contratos firmados con pago inicial recibido dentro de los cinco (5) días calendario siguientes a su cierre se contabilizan como del mes 1.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w:t>
      </w:r>
      <w:r>
        <w:t>EL TRABAJADOR organiza su agenda y sus visitas. Las partes sostendrán una reunión diaria de seguimiento de quince (15) minutos a hora fija (resultados del día anterior frente al plan y plan del día) y una reunión semanal de planeación de treinta (30) minutos los lunes. EL TRABAJADOR mantendrá el tablero de alianzas actualizado el mismo día.</w:t>
      </w:r>
    </w:p>
    <w:p>
      <w:pPr>
        <w:spacing w:after="120"/>
        <w:jc w:val="both"/>
      </w:pPr>
      <w:r>
        <w:rPr>
          <w:b/>
        </w:rPr>
        <w:t xml:space="preserve">CLÁUSULA 13. MODIFICACIONES. </w:t>
      </w:r>
      <w:r>
        <w:t>Ninguna meta, tasa de comisión, garantía o condición de este anexo podrá modificarse sin acuerdo escrito firmado por ambas partes (otrosí).</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