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28"/>
        </w:rPr>
        <w:t>QUÉ APORTA LA ALIANZA HEIIU BUSINESS PARTNER — programa completo A1 a B2, precio de lista $8.696.000</w:t>
      </w:r>
    </w:p>
    <w:p>
      <w:r>
        <w:rPr>
          <w:color w:val="777777"/>
          <w:sz w:val="19"/>
        </w:rPr>
        <w:t>Porcentajes del Reglamento del Fondo de Becas (art. 3.3, 3.4 y 3.5). La empresa no paga 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685"/>
            <w:shd w:val="clear" w:color="auto" w:fill="FFF8E7"/>
          </w:tcPr>
          <w:p>
            <w:pPr>
              <w:spacing w:after="0"/>
            </w:pPr>
            <w:r>
              <w:rPr>
                <w:b/>
                <w:sz w:val="21"/>
              </w:rPr>
              <w:t>Quién</w:t>
            </w:r>
          </w:p>
        </w:tc>
        <w:tc>
          <w:tcPr>
            <w:tcW w:type="dxa" w:w="2268"/>
            <w:shd w:val="clear" w:color="auto" w:fill="FFF8E7"/>
          </w:tcPr>
          <w:p>
            <w:pPr>
              <w:spacing w:after="0"/>
            </w:pPr>
            <w:r>
              <w:rPr>
                <w:b/>
                <w:sz w:val="21"/>
              </w:rPr>
              <w:t>Perfil que le aplica</w:t>
            </w:r>
          </w:p>
        </w:tc>
        <w:tc>
          <w:tcPr>
            <w:tcW w:type="dxa" w:w="2381"/>
            <w:shd w:val="clear" w:color="auto" w:fill="FFF8E7"/>
          </w:tcPr>
          <w:p>
            <w:pPr>
              <w:spacing w:after="0"/>
            </w:pPr>
            <w:r>
              <w:rPr>
                <w:b/>
                <w:sz w:val="21"/>
              </w:rPr>
              <w:t>Paga de contado</w:t>
            </w:r>
          </w:p>
        </w:tc>
        <w:tc>
          <w:tcPr>
            <w:tcW w:type="dxa" w:w="2381"/>
            <w:shd w:val="clear" w:color="auto" w:fill="FFF8E7"/>
          </w:tcPr>
          <w:p>
            <w:pPr>
              <w:spacing w:after="0"/>
            </w:pPr>
            <w:r>
              <w:rPr>
                <w:b/>
                <w:sz w:val="21"/>
              </w:rPr>
              <w:t>Paga a cuotas</w:t>
            </w:r>
          </w:p>
        </w:tc>
        <w:tc>
          <w:tcPr>
            <w:tcW w:type="dxa" w:w="4309"/>
            <w:shd w:val="clear" w:color="auto" w:fill="FFF8E7"/>
          </w:tcPr>
          <w:p>
            <w:pPr>
              <w:spacing w:after="0"/>
            </w:pPr>
            <w:r>
              <w:rPr>
                <w:b/>
                <w:sz w:val="21"/>
              </w:rPr>
              <w:t>Lo que la alianza le aporta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Persona que llega por la calle</w:t>
              <w:br/>
              <w:t>(sin Cajasan, sin estrato 1-2)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1"/>
              </w:rPr>
              <w:t>General</w:t>
              <w:br/>
              <w:t>(techo 32%)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1"/>
              </w:rPr>
              <w:t>$5.913.280</w:t>
              <w:br/>
              <w:t>(32% de beca)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1"/>
              </w:rPr>
              <w:t>$6.435.040</w:t>
              <w:br/>
              <w:t>(26% de beca)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685"/>
            <w:shd w:val="clear" w:color="auto" w:fill="FFF3E8"/>
          </w:tcPr>
          <w:p>
            <w:pPr>
              <w:spacing w:after="0"/>
            </w:pPr>
            <w:r>
              <w:rPr>
                <w:sz w:val="21"/>
              </w:rPr>
              <w:t>Empleado de empresa aliada</w:t>
              <w:br/>
              <w:t>con ingresos hasta 1,5 SMMLV</w:t>
              <w:br/>
              <w:t>(carta de la empresa + desprendible)</w:t>
            </w:r>
          </w:p>
        </w:tc>
        <w:tc>
          <w:tcPr>
            <w:tcW w:type="dxa" w:w="2268"/>
            <w:shd w:val="clear" w:color="auto" w:fill="FFF3E8"/>
          </w:tcPr>
          <w:p>
            <w:pPr>
              <w:spacing w:after="0"/>
            </w:pPr>
            <w:r>
              <w:rPr>
                <w:b/>
                <w:sz w:val="21"/>
              </w:rPr>
              <w:t>TRANSFORMACIÓN</w:t>
              <w:br/>
              <w:t>(techo 45%)</w:t>
            </w:r>
          </w:p>
        </w:tc>
        <w:tc>
          <w:tcPr>
            <w:tcW w:type="dxa" w:w="2381"/>
            <w:shd w:val="clear" w:color="auto" w:fill="FFF3E8"/>
          </w:tcPr>
          <w:p>
            <w:pPr>
              <w:spacing w:after="0"/>
            </w:pPr>
            <w:r>
              <w:rPr>
                <w:b/>
                <w:sz w:val="21"/>
              </w:rPr>
              <w:t>$4.782.800</w:t>
              <w:br/>
              <w:t>(45% de beca)</w:t>
            </w:r>
          </w:p>
        </w:tc>
        <w:tc>
          <w:tcPr>
            <w:tcW w:type="dxa" w:w="2381"/>
            <w:shd w:val="clear" w:color="auto" w:fill="FFF3E8"/>
          </w:tcPr>
          <w:p>
            <w:pPr>
              <w:spacing w:after="0"/>
            </w:pPr>
            <w:r>
              <w:rPr>
                <w:sz w:val="21"/>
              </w:rPr>
              <w:t>$5.565.440</w:t>
              <w:br/>
              <w:t>(36% de beca)</w:t>
            </w:r>
          </w:p>
        </w:tc>
        <w:tc>
          <w:tcPr>
            <w:tcW w:type="dxa" w:w="4309"/>
            <w:shd w:val="clear" w:color="auto" w:fill="FFF3E8"/>
          </w:tcPr>
          <w:p>
            <w:pPr>
              <w:spacing w:after="0"/>
            </w:pPr>
            <w:r>
              <w:rPr>
                <w:b/>
                <w:sz w:val="21"/>
              </w:rPr>
              <w:t>$1.130.480 menos de contado</w:t>
              <w:br/>
              <w:t>$869.600 menos a cuotas</w:t>
              <w:br/>
              <w:br/>
              <w:t>El mismo trato de un afiliado a Cajasan o de estrato 1-2, con la carta de su jefe como soporte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Los demás empleados de la empresa aliada</w:t>
              <w:br/>
              <w:t>(ganan más de 1,5 SMMLV)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1"/>
              </w:rPr>
              <w:t>General, pero a cuotas</w:t>
              <w:br/>
              <w:t>con el % de contado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1"/>
              </w:rPr>
              <w:t>$5.913.280</w:t>
              <w:br/>
              <w:t>(32% de beca)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1"/>
              </w:rPr>
              <w:t>$5.913.280</w:t>
              <w:br/>
              <w:t>(32% en vez de 26%)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/>
                <w:sz w:val="21"/>
              </w:rPr>
              <w:t>$521.760 menos si paga a cuotas</w:t>
              <w:br/>
              <w:br/>
              <w:t>El mismo beneficio del convenio Cajasan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La empresa aliada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1"/>
              </w:rPr>
              <w:t>—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1"/>
              </w:rPr>
              <w:t>—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1"/>
              </w:rPr>
              <w:t>—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sz w:val="21"/>
              </w:rPr>
              <w:t>Paga $0.</w:t>
              <w:br/>
              <w:t>Recibe: ceremonia de becas con su nombre, reporte de avance de sus becados y diagnóstico de inglés para su equipo</w:t>
            </w:r>
          </w:p>
        </w:tc>
      </w:tr>
    </w:tbl>
    <w:p/>
    <w:p>
      <w:r>
        <w:rPr>
          <w:color w:val="777777"/>
          <w:sz w:val="19"/>
        </w:rPr>
        <w:t>Regla del mejor beneficio: nunca se suman dos becas; se aplica la mayor a la que el colaborador califique. Cupo: la Beca Transformación tiene un tope del 30% de las matrículas nuevas por trimestre; los becados por empresa entran en ese cupo.</w:t>
      </w:r>
    </w:p>
    <w:sectPr w:rsidR="00FC693F" w:rsidRPr="0006063C" w:rsidSect="00034616">
      <w:pgSz w:w="15840" w:h="12240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