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en los 12 meses siguientes a la firma de la matrícula del estudiante, 3% del mes 13 al 24,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Tipo de contrato y período de prueba (decisión de gerencia): contrato a término INDEFINIDO con período de prueba de DOS (2) MESES. Redactar la terminación dentro del período de prueba con causa objetiva documentada (indicadores de gestión y resultados registrados en el tablero y en las actas de seguimiento diario), de modo que la decisión al día 45 (revisión del 11/12/2026) quede soportada.</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fundaciones y colegios, incluida la participación en ferias escolares, universitarias y empresariales;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los doce (12) meses siguientes a la fecha de firma de su contrato de matrícula, y tres por ciento (3%) de los que realice entre los meses trece (13) y veinticuatro (24) contados desde esa misma fecha; a partir del mes veinticinco (25) no se causa comisión de cartera. Las comisiones se liquidan mensualmente sobre lo efectivamente recaudado en el mes anterior, no tienen tope y constituyen salario. El valor de las ventas firmadas sirve únicamente para medir la meta (cláusula 5); no genera comisión mientras no sea recaudado.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y de firmas del mes (cláusula 9),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$90.000.000 en el trimestre ($30M/mes)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activaciones de alianzas firmadas: dos (2) en el mes 2 y tres (3) en el mes 3; desde el mes 4, al menos una activación por trimestre por cada alianza activa. Firmas mínimas del primer trimestre: mes 1, dos (2); mes 2, cuatro (4) acumuladas; mes 3, seis (6) acumuladas. La meta de ventas del primer trimestre (cláusula 5) es de treinta millones de pesos ($30.000.000) por mes y no es condición del ingreso mínimo garantizado. Evaluación del período de prueba, en dos cortes: al día treinta (30) del contrato, EL TRABAJADOR debe acreditar al menos una venta firmada con pago inicial recibido o una alianza activada; al día cuarenta y cinco (45), ventas firmadas con pago inicial recibido (definición de la cláusula 5) por al menos treinta millones de pesos ($30.000.000) por cualquier canal (plan empresa, alianzas, programas personalizados o base de la academia; para esta evaluación las ventas de la base de la academia se computan por el cien por ciento de su valor). Esos resultados son criterio de la evaluación del período de prueba y no modifican el ingreso mínimo garantizado de la cláusula 4. Únicamente para el primer mes, los contratos firmados con pago inicial recibido dentro de los cinco (5) días calendario siguientes a su cierre se contabilizan como del mes 1.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Los contactos que EL TRABAJADOR genere en ferias, colegios, charlas y empresas se registran en el sistema de la academia dentro de las veinticuatro (24) horas siguientes; EL TRABAJADOR es responsable de que el equipo de asesoría los gestione, con o sin su presencia, y las matrículas que provengan de esas bases, registradas a su nombre antes del primer contacto de la asesora, generan la comisión de cartera de la cláusula 3(b). Cuando un cliente requiera atención y no haya una asesora disponible, EL TRABAJADOR podrá atenderlo y cerrar la matrícula por iniciativa propia, registrándolo de inmediato en el sistema de la academia, y recibirá la comisión de cierre vigente para las asesoras; esas ventas se computan por el cincuenta por ciento (50%) de su valor para la meta trimestral.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Y EQUIPO. </w:t>
      </w:r>
      <w:r>
        <w:t>EL TRABAJADOR no tiene personal a cargo. El equipo de asesoría comercial apoya a EL TRABAJADOR en las activaciones (charlas, ferias, jornadas de inscripción) y en la matrícula de los interesados del canal, sin reportarle; coordinación académica apoya en diagnósticos de nivel. EL TRABAJADOR organiza su agenda y sus visitas. Las partes sostendrán un seguimiento diario a hora fija, de lunes a viernes, preparado y presentado por EL TRABAJADOR, con registro escrito: los lunes, presencial en la sede de EL EMPLEADOR, treinta (30) minutos de planeación de la semana; de martes a jueves, virtual, quince (15) minutos de avance frente al plan; los viernes, presencial en la sede, treinta (30) minutos de cierre de la semana con resultados frente al plan. Las sesiones presenciales son con gerencia o con quien gerencia designe. EL TRABAJADOR es responsable de que el equipo de asesoría gestione los interesados que él genere, les hace seguimiento y escala a gerencia lo que no avance. EL TRABAJADOR mantendrá el tablero de alianzas actualizado el mismo día.</w:t>
      </w:r>
    </w:p>
    <w:p>
      <w:pPr>
        <w:spacing w:after="120"/>
        <w:jc w:val="both"/>
      </w:pPr>
      <w:r>
        <w:rPr>
          <w:b/>
        </w:rPr>
        <w:t xml:space="preserve">CLÁUSULA 13. TERRITORIO Y OTROS COMERCIALES. </w:t>
      </w:r>
      <w:r>
        <w:t>EL EMPLEADOR asigna por escrito a EL TRABAJADOR los sectores o segmentos de empresas que atiende, y podrá ajustarlos por escrito según las necesidades del negocio, sin que ello constituya desmejora. EL EMPLEADOR puede tener otros comerciales B2B en otros sectores. Regla única de atribución: una empresa queda a nombre de quien la registre primero en el tablero, con sesenta (60) días para la primera reunión con quien decide; vencido ese plazo sin reunión, la empresa se libera. Los conflictos de atribución los resuelve EL EMPLEADOR por escrito.</w:t>
      </w:r>
    </w:p>
    <w:p>
      <w:pPr>
        <w:spacing w:after="120"/>
        <w:jc w:val="both"/>
      </w:pPr>
      <w:r>
        <w:rPr>
          <w:b/>
        </w:rPr>
        <w:t xml:space="preserve">CLÁUSULA 14. REVISIÓN ANUAL Y MODIFICACIONES. </w:t>
      </w:r>
      <w:r>
        <w:t>El esquema de comisiones, metas e indicadores de este anexo se revisa cada año, en diciembre, según el rendimiento y las condiciones del negocio. Ninguna meta, tasa de comisión, garantía o condición podrá modificarse sin acuerdo escrito firmado por ambas partes (otrosí), salvo los aumentos de meta ya pactados en las cláusulas 5 y 6.</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