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ANEXO ECONÓMICO No. ___ — ROL: CERRADORA HIGH TICKET · CAMPAÑA ARRANQUE A1+A2</w:t>
      </w:r>
    </w:p>
    <w:p>
      <w:pPr>
        <w:jc w:val="center"/>
      </w:pPr>
      <w:r>
        <w:rPr>
          <w:b/>
          <w:color w:val="777777"/>
          <w:sz w:val="19"/>
        </w:rPr>
        <w:t>Hace parte integral del Contrato de Prestación de Servicios Comerciales suscrito entre las partes · Septiembre 2026</w:t>
      </w:r>
    </w:p>
    <w:p/>
    <w:p>
      <w:pPr>
        <w:spacing w:after="80"/>
      </w:pPr>
      <w:r>
        <w:rPr>
          <w:b w:val="0"/>
          <w:sz w:val="21"/>
        </w:rPr>
        <w:t>Las partes pactan la siguiente remuneración, que reemplaza cualquier acuerdo verbal anterior:</w:t>
      </w:r>
    </w:p>
    <w:p>
      <w:pPr>
        <w:spacing w:after="60"/>
        <w:ind w:left="340"/>
      </w:pPr>
      <w:r>
        <w:rPr>
          <w:b/>
          <w:sz w:val="21"/>
        </w:rPr>
        <w:t xml:space="preserve">1. </w:t>
      </w:r>
      <w:r>
        <w:rPr>
          <w:b/>
          <w:sz w:val="21"/>
        </w:rPr>
        <w:t>CANAL PROPIO — 8%: comisión del OCHO por ciento (8%) del recaudo efectivo a caja por toda venta originada en el canal propio del (de la) CONTRATISTA: su contenido, su red personal y las campañas de pauta que la institución financie sobre sus piezas. La pauta la financia y la ejecuta la institución desde sus cuentas publicitarias, sobre piezas del (de la) CONTRATISTA aprobadas por gerencia antes de publicar, dirigiendo los leads a la línea de WhatsApp Business de la institución operada por el (la) CONTRATISTA; esos leads son canal propio. Aplica a todo el portafolio (Arranque, programas completos, niveles individuales y sabatinos).</w:t>
      </w:r>
    </w:p>
    <w:p>
      <w:pPr>
        <w:spacing w:after="60"/>
        <w:ind w:left="340"/>
      </w:pPr>
      <w:r>
        <w:rPr>
          <w:b/>
          <w:sz w:val="21"/>
        </w:rPr>
        <w:t xml:space="preserve">2. </w:t>
      </w:r>
      <w:r>
        <w:rPr>
          <w:b/>
          <w:sz w:val="21"/>
        </w:rPr>
        <w:t>ACELERADOR — 10% RETROACTIVO: la comisión sube al DIEZ por ciento (10%) sobre la TOTALIDAD de la serie de ventas del (de la) CONTRATISTA en esta campaña si se cumple cualquiera de las dos metas: (a) DOCE (12) matrículas de la cohorte del 5 de octubre dentro de los primeros DOCE (12) DÍAS de campaña al aire (el día 1 es la fecha de publicación de la primera campaña, registrada en la planilla); o (b) los veinte (20) cupos de lanzamiento vendidos antes del 5 DE OCTUBRE de 2026. No cumplida ninguna, aplica el 8%. Las metas cuentan solo matrículas de la cohorte del 5 de octubre.</w:t>
      </w:r>
    </w:p>
    <w:p>
      <w:pPr>
        <w:spacing w:after="60"/>
        <w:ind w:left="340"/>
      </w:pPr>
      <w:r>
        <w:rPr>
          <w:b/>
          <w:sz w:val="21"/>
        </w:rPr>
        <w:t xml:space="preserve">3. </w:t>
      </w:r>
      <w:r>
        <w:rPr>
          <w:b w:val="0"/>
          <w:sz w:val="21"/>
        </w:rPr>
        <w:t>BONO GRUPOS LLENOS: veintiocho (28) matrículas (14 y 14 por jornada) antes del 5 DE OCTUBRE de 2026 = bono único de DOS MILLONES DE PESOS ($2.000.000), adicional al acelerador.</w:t>
      </w:r>
    </w:p>
    <w:p>
      <w:pPr>
        <w:spacing w:after="60"/>
        <w:ind w:left="340"/>
      </w:pPr>
      <w:r>
        <w:rPr>
          <w:b/>
          <w:sz w:val="21"/>
        </w:rPr>
        <w:t xml:space="preserve">4. </w:t>
      </w:r>
      <w:r>
        <w:rPr>
          <w:b w:val="0"/>
          <w:sz w:val="21"/>
        </w:rPr>
        <w:t>LEADS ENTREGADOS POR LA INSTITUCIÓN: 5% del recaudo de cliente nuevo y 2,5% de cliente antiguo, solo sobre leads asignados expresamente en planilla. Todo lead asignado se atiende el mismo día y queda registrado en la planilla desde el primer contacto. PASE CRUZADO: quien pase un cliente registrado a otro miembro del equipo recibe el UNO por ciento (1%) del recaudo si este lo cierra — en ambas direcciones, siempre con el pase anotado en planilla.</w:t>
      </w:r>
    </w:p>
    <w:p>
      <w:pPr>
        <w:spacing w:after="60"/>
        <w:ind w:left="340"/>
      </w:pPr>
      <w:r>
        <w:rPr>
          <w:b/>
          <w:sz w:val="21"/>
        </w:rPr>
        <w:t xml:space="preserve">5. </w:t>
      </w:r>
      <w:r>
        <w:rPr>
          <w:b w:val="0"/>
          <w:sz w:val="21"/>
        </w:rPr>
        <w:t>PAUTA: presupuesto inicial de hasta UN MILLÓN DE PESOS ($1.000.000) mensuales para la campaña del (de la) CONTRATISTA, aprobado pieza a pieza por gerencia y ajustable según el costo por matrícula de cada campaña. El gasto de pauta lo asume la institución y no se descuenta de las comisiones. Las piezas que el (la) CONTRATISTA grabe para su propia campaña no se remuneran por pieza: su retribución es la comisión de este anexo.</w:t>
      </w:r>
    </w:p>
    <w:p>
      <w:pPr>
        <w:spacing w:after="60"/>
        <w:ind w:left="340"/>
      </w:pPr>
      <w:r>
        <w:rPr>
          <w:b/>
          <w:sz w:val="21"/>
        </w:rPr>
        <w:t xml:space="preserve">6. </w:t>
      </w:r>
      <w:r>
        <w:rPr>
          <w:b w:val="0"/>
          <w:sz w:val="21"/>
        </w:rPr>
        <w:t>CORTES DE LIQUIDACIÓN: 30 de septiembre y 5 de octubre de 2026; en adelante, cortes mensuales al último día del mes. Pago conforme a la cláusula TERCERA del contrato (cuenta de cobro, 5 días hábiles, retracto vencido, clawback).</w:t>
      </w:r>
    </w:p>
    <w:p>
      <w:pPr>
        <w:spacing w:after="60"/>
        <w:ind w:left="340"/>
      </w:pPr>
      <w:r>
        <w:rPr>
          <w:b/>
          <w:sz w:val="21"/>
        </w:rPr>
        <w:t xml:space="preserve">7. </w:t>
      </w:r>
      <w:r>
        <w:rPr>
          <w:b w:val="0"/>
          <w:sz w:val="21"/>
        </w:rPr>
        <w:t>VENTAS DEL CUPO 21 EN ADELANTE: comisionan igual, a la tarifa plena vigente, con la única excepción escrita de pago de contado completo el mismo día (precio de lanzamiento). Prohibido ofrecer precio de lanzamiento con el contador en 20, salvo esa excepción.</w:t>
      </w:r>
    </w:p>
    <w:p/>
    <w:p/>
    <w:p>
      <w:pPr>
        <w:spacing w:after="80"/>
      </w:pPr>
      <w:r>
        <w:rPr>
          <w:b w:val="0"/>
          <w:sz w:val="21"/>
        </w:rPr>
        <w:t>Para constancia se firma en Bucaramanga, a los ____ días del mes de _____________ de 2026.</w:t>
      </w:r>
    </w:p>
    <w:p/>
    <w:p>
      <w:pPr>
        <w:spacing w:after="80"/>
      </w:pPr>
      <w:r>
        <w:rPr>
          <w:b w:val="0"/>
          <w:sz w:val="21"/>
        </w:rPr>
        <w:t>EL CONTRATANTE:                                                        EL (LA) CONTRATISTA:</w:t>
      </w:r>
    </w:p>
    <w:p/>
    <w:p>
      <w:pPr>
        <w:spacing w:after="80"/>
      </w:pPr>
      <w:r>
        <w:rPr>
          <w:b w:val="0"/>
          <w:sz w:val="21"/>
        </w:rPr>
        <w:t>_____________________________                                _____________________________</w:t>
      </w:r>
    </w:p>
    <w:p>
      <w:pPr>
        <w:spacing w:after="80"/>
      </w:pPr>
      <w:r>
        <w:rPr>
          <w:b w:val="0"/>
          <w:sz w:val="21"/>
        </w:rPr>
        <w:t>DIANA MARCELA GÓMEZ RANGEL                              Nombre: ________________________</w:t>
      </w:r>
    </w:p>
    <w:p>
      <w:pPr>
        <w:spacing w:after="80"/>
      </w:pPr>
      <w:r>
        <w:rPr>
          <w:b w:val="0"/>
          <w:sz w:val="21"/>
        </w:rPr>
        <w:t>C.C. 63.552.709 de Bucaramanga                                 C.C. ______________________________</w:t>
      </w:r>
    </w:p>
    <w:p>
      <w:pPr>
        <w:spacing w:after="80"/>
      </w:pPr>
      <w:r>
        <w:rPr>
          <w:b w:val="0"/>
          <w:sz w:val="21"/>
        </w:rPr>
        <w:t>Representante Legal — GLOBAL TEACHER S.A.S.</w:t>
      </w:r>
    </w:p>
    <w:sectPr w:rsidR="00FC693F" w:rsidRPr="0006063C" w:rsidSect="00034616">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