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CAJASAN (si es afiliado): libranza por nómina, cuotas desde $160.000 — financia Cajasan, NO Heiiu. Única academia de inglés en Bucaramanga con este convenio.</w:t>
      </w:r>
    </w:p>
    <w:p>
      <w:pPr>
        <w:spacing w:after="60"/>
      </w:pPr>
      <w:r>
        <w:rPr>
          <w:b w:val="0"/>
          <w:sz w:val="24"/>
        </w:rPr>
        <w:t>3.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4. CRÉDITO DIRECTO HEIIU — ÚLTIMO recurso, solo si nada de lo anterior aplica: beca de cuotas + interés del 1,9% mensual sobre saldo. Reserva de $100.000-$150.000 el día 1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Contado, Cajasan o tarjeta: igual que arriba. Si toca crédito directo (1,9% mensual, reserva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