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CAJASAN (si es afiliado): libranza por nómina, cuotas desde $160.000 — financia Cajasan, NO Heiiu. Única academia de inglés en Bucaramanga con este convenio.</w:t>
      </w:r>
    </w:p>
    <w:p>
      <w:pPr>
        <w:spacing w:after="60"/>
      </w:pPr>
      <w:r>
        <w:rPr>
          <w:b w:val="0"/>
          <w:sz w:val="24"/>
        </w:rPr>
        <w:t>3.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4. CRÉDITO DIRECTO HEIIU — ÚLTIMO recurso, solo si nada de lo anterior aplica: beca de cuotas + interés del 1,9% mensual sobre saldo. Reserva de $100.000-$150.000 el día 1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