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FDC9" w14:textId="77777777" w:rsidR="003C0865" w:rsidRPr="00B61B7C" w:rsidRDefault="00000000">
      <w:pPr>
        <w:spacing w:after="0"/>
        <w:jc w:val="center"/>
        <w:rPr>
          <w:lang w:val="es-CO"/>
        </w:rPr>
      </w:pPr>
      <w:r w:rsidRPr="00B61B7C">
        <w:rPr>
          <w:b/>
          <w:color w:val="E54C09"/>
          <w:sz w:val="26"/>
          <w:lang w:val="es-CO"/>
        </w:rPr>
        <w:t>POR QUÉ ESCRIBIMOS ASÍ A LAS EMPRESAS</w:t>
      </w:r>
    </w:p>
    <w:p w14:paraId="4CB44012" w14:textId="3FE8F346" w:rsidR="003C0865" w:rsidRPr="00B61B7C" w:rsidRDefault="00B61B7C">
      <w:pPr>
        <w:spacing w:after="60"/>
        <w:rPr>
          <w:lang w:val="es-CO"/>
        </w:rPr>
      </w:pPr>
      <w:proofErr w:type="spellStart"/>
      <w:r>
        <w:rPr>
          <w:lang w:val="es-CO"/>
        </w:rPr>
        <w:t>Jhon</w:t>
      </w:r>
      <w:proofErr w:type="spellEnd"/>
      <w:r>
        <w:rPr>
          <w:lang w:val="es-CO"/>
        </w:rPr>
        <w:t xml:space="preserve"> primero que todo super el </w:t>
      </w:r>
      <w:r w:rsidR="00000000" w:rsidRPr="00B61B7C">
        <w:rPr>
          <w:lang w:val="es-CO"/>
        </w:rPr>
        <w:t>primer borrador de</w:t>
      </w:r>
      <w:r>
        <w:rPr>
          <w:lang w:val="es-CO"/>
        </w:rPr>
        <w:t>l</w:t>
      </w:r>
      <w:r w:rsidR="00000000" w:rsidRPr="00B61B7C">
        <w:rPr>
          <w:lang w:val="es-CO"/>
        </w:rPr>
        <w:t xml:space="preserve"> correo que se escribió para las empresas </w:t>
      </w:r>
      <w:r>
        <w:rPr>
          <w:lang w:val="es-CO"/>
        </w:rPr>
        <w:t xml:space="preserve">realmente me parece que </w:t>
      </w:r>
      <w:proofErr w:type="spellStart"/>
      <w:r w:rsidR="00000000" w:rsidRPr="00B61B7C">
        <w:rPr>
          <w:lang w:val="es-CO"/>
        </w:rPr>
        <w:t>est</w:t>
      </w:r>
      <w:proofErr w:type="spellEnd"/>
      <w:r w:rsidR="00000000" w:rsidRPr="00B61B7C">
        <w:rPr>
          <w:lang w:val="es-CO"/>
        </w:rPr>
        <w:t xml:space="preserve"> bien redactado y respetuoso, </w:t>
      </w:r>
      <w:r>
        <w:rPr>
          <w:lang w:val="es-CO"/>
        </w:rPr>
        <w:t xml:space="preserve">pero </w:t>
      </w:r>
      <w:proofErr w:type="spellStart"/>
      <w:r>
        <w:rPr>
          <w:lang w:val="es-CO"/>
        </w:rPr>
        <w:t>sobretodo</w:t>
      </w:r>
      <w:proofErr w:type="spellEnd"/>
      <w:r>
        <w:rPr>
          <w:lang w:val="es-CO"/>
        </w:rPr>
        <w:t xml:space="preserve"> que</w:t>
      </w:r>
      <w:r w:rsidR="00000000" w:rsidRPr="00B61B7C">
        <w:rPr>
          <w:lang w:val="es-CO"/>
        </w:rPr>
        <w:t xml:space="preserve"> t</w:t>
      </w:r>
      <w:r>
        <w:rPr>
          <w:lang w:val="es-CO"/>
        </w:rPr>
        <w:t>ie</w:t>
      </w:r>
      <w:r w:rsidR="00000000" w:rsidRPr="00B61B7C">
        <w:rPr>
          <w:lang w:val="es-CO"/>
        </w:rPr>
        <w:t>n</w:t>
      </w:r>
      <w:r>
        <w:rPr>
          <w:lang w:val="es-CO"/>
        </w:rPr>
        <w:t xml:space="preserve">e la idea muy clara y es que vendemos </w:t>
      </w:r>
      <w:proofErr w:type="spellStart"/>
      <w:r>
        <w:rPr>
          <w:lang w:val="es-CO"/>
        </w:rPr>
        <w:t>mas</w:t>
      </w:r>
      <w:proofErr w:type="spellEnd"/>
      <w:r>
        <w:rPr>
          <w:lang w:val="es-CO"/>
        </w:rPr>
        <w:t xml:space="preserve"> que el </w:t>
      </w:r>
      <w:proofErr w:type="spellStart"/>
      <w:r>
        <w:rPr>
          <w:lang w:val="es-CO"/>
        </w:rPr>
        <w:t>ingles</w:t>
      </w:r>
      <w:proofErr w:type="spellEnd"/>
      <w:r>
        <w:rPr>
          <w:lang w:val="es-CO"/>
        </w:rPr>
        <w:t xml:space="preserve"> que todos venden. Pero como me pediste comentarios y sugerencias, yo me puse a hacer una investigación profunda para darte una guía de lo que se consideran buenas </w:t>
      </w:r>
      <w:proofErr w:type="spellStart"/>
      <w:r>
        <w:rPr>
          <w:lang w:val="es-CO"/>
        </w:rPr>
        <w:t>practicas</w:t>
      </w:r>
      <w:proofErr w:type="spellEnd"/>
      <w:r>
        <w:rPr>
          <w:lang w:val="es-CO"/>
        </w:rPr>
        <w:t xml:space="preserve"> a la hora de enviar correos a altos directivos porque por lo general lo que tiene a fallar cuando se hacen envíos en frio es que lo que a nosotros nos parece bien y completo, al gerente le parece largo y no lo termina leyendo. Lo cual no nos sirve por que perdemos el primer intento. Entonces aquí van las sugerencias y lo que encontré y ya con eso decides tambien tu como lo terminas de organizar</w:t>
      </w:r>
      <w:r w:rsidR="00000000" w:rsidRPr="00B61B7C">
        <w:rPr>
          <w:lang w:val="es-CO"/>
        </w:rPr>
        <w:t>.</w:t>
      </w:r>
    </w:p>
    <w:p w14:paraId="3A0AD226" w14:textId="77777777" w:rsidR="003C0865" w:rsidRPr="00B61B7C" w:rsidRDefault="00000000">
      <w:pPr>
        <w:spacing w:before="100" w:after="20"/>
        <w:rPr>
          <w:lang w:val="es-CO"/>
        </w:rPr>
      </w:pPr>
      <w:r w:rsidRPr="00B61B7C">
        <w:rPr>
          <w:b/>
          <w:color w:val="E54C09"/>
          <w:sz w:val="21"/>
          <w:lang w:val="es-CO"/>
        </w:rPr>
        <w:t>Lo que cambia y por qué</w:t>
      </w:r>
    </w:p>
    <w:tbl>
      <w:tblPr>
        <w:tblStyle w:val="TableGrid"/>
        <w:tblW w:w="0" w:type="auto"/>
        <w:tblLook w:val="04A0" w:firstRow="1" w:lastRow="0" w:firstColumn="1" w:lastColumn="0" w:noHBand="0" w:noVBand="1"/>
      </w:tblPr>
      <w:tblGrid>
        <w:gridCol w:w="3628"/>
        <w:gridCol w:w="6463"/>
      </w:tblGrid>
      <w:tr w:rsidR="003C0865" w14:paraId="65F6211B" w14:textId="77777777">
        <w:tc>
          <w:tcPr>
            <w:tcW w:w="3628" w:type="dxa"/>
            <w:shd w:val="clear" w:color="auto" w:fill="E54C09"/>
          </w:tcPr>
          <w:p w14:paraId="4C2CCCF4" w14:textId="77777777" w:rsidR="003C0865" w:rsidRDefault="00000000">
            <w:proofErr w:type="spellStart"/>
            <w:r>
              <w:rPr>
                <w:b/>
                <w:color w:val="FFFFFF"/>
                <w:sz w:val="17"/>
              </w:rPr>
              <w:t>Cómo</w:t>
            </w:r>
            <w:proofErr w:type="spellEnd"/>
            <w:r>
              <w:rPr>
                <w:b/>
                <w:color w:val="FFFFFF"/>
                <w:sz w:val="17"/>
              </w:rPr>
              <w:t xml:space="preserve"> lo </w:t>
            </w:r>
            <w:proofErr w:type="spellStart"/>
            <w:r>
              <w:rPr>
                <w:b/>
                <w:color w:val="FFFFFF"/>
                <w:sz w:val="17"/>
              </w:rPr>
              <w:t>hacemos</w:t>
            </w:r>
            <w:proofErr w:type="spellEnd"/>
          </w:p>
        </w:tc>
        <w:tc>
          <w:tcPr>
            <w:tcW w:w="6463" w:type="dxa"/>
            <w:shd w:val="clear" w:color="auto" w:fill="E54C09"/>
          </w:tcPr>
          <w:p w14:paraId="6DBF7B9D" w14:textId="77777777" w:rsidR="003C0865" w:rsidRDefault="00000000">
            <w:r>
              <w:rPr>
                <w:b/>
                <w:color w:val="FFFFFF"/>
                <w:sz w:val="17"/>
              </w:rPr>
              <w:t>Qué encontramos</w:t>
            </w:r>
          </w:p>
        </w:tc>
      </w:tr>
      <w:tr w:rsidR="003C0865" w:rsidRPr="00B61B7C" w14:paraId="0AD90381" w14:textId="77777777">
        <w:tc>
          <w:tcPr>
            <w:tcW w:w="3628" w:type="dxa"/>
          </w:tcPr>
          <w:p w14:paraId="2E60F861" w14:textId="77777777" w:rsidR="003C0865" w:rsidRPr="00B61B7C" w:rsidRDefault="00000000">
            <w:pPr>
              <w:rPr>
                <w:lang w:val="es-CO"/>
              </w:rPr>
            </w:pPr>
            <w:r w:rsidRPr="00B61B7C">
              <w:rPr>
                <w:b/>
                <w:sz w:val="17"/>
                <w:lang w:val="es-CO"/>
              </w:rPr>
              <w:t>Menos de 90 palabras. El borrador tenía 270.</w:t>
            </w:r>
          </w:p>
        </w:tc>
        <w:tc>
          <w:tcPr>
            <w:tcW w:w="6463" w:type="dxa"/>
          </w:tcPr>
          <w:p w14:paraId="59256679" w14:textId="77777777" w:rsidR="003C0865" w:rsidRPr="00B61B7C" w:rsidRDefault="00000000">
            <w:pPr>
              <w:rPr>
                <w:lang w:val="es-CO"/>
              </w:rPr>
            </w:pPr>
            <w:r w:rsidRPr="00B61B7C">
              <w:rPr>
                <w:sz w:val="17"/>
                <w:lang w:val="es-CO"/>
              </w:rPr>
              <w:t>Un gerente decide en menos de 3 segundos si abre el correo y lo lee en 9 segundos o menos. Pasadas las 100 palabras, las respuestas caen (Gong, 2026, más de un millón de ciclos de venta). Con 270 palabras, lo mejor del mensaje queda en la parte que nadie lee.</w:t>
            </w:r>
          </w:p>
        </w:tc>
      </w:tr>
      <w:tr w:rsidR="003C0865" w:rsidRPr="00B61B7C" w14:paraId="2A2B7B8E" w14:textId="77777777">
        <w:tc>
          <w:tcPr>
            <w:tcW w:w="3628" w:type="dxa"/>
          </w:tcPr>
          <w:p w14:paraId="426833A5" w14:textId="7E7BF0E1" w:rsidR="003C0865" w:rsidRDefault="00000000">
            <w:r w:rsidRPr="00B61B7C">
              <w:rPr>
                <w:b/>
                <w:sz w:val="17"/>
                <w:lang w:val="es-CO"/>
              </w:rPr>
              <w:t xml:space="preserve">Asunto corto con el nombre de la empresa, y el correo con el nombre y cargo de quien decide. </w:t>
            </w:r>
            <w:r>
              <w:rPr>
                <w:b/>
                <w:sz w:val="17"/>
              </w:rPr>
              <w:t>Nunca</w:t>
            </w:r>
            <w:r w:rsidR="00B61B7C">
              <w:rPr>
                <w:b/>
                <w:sz w:val="17"/>
              </w:rPr>
              <w:t xml:space="preserve"> nada </w:t>
            </w:r>
            <w:proofErr w:type="spellStart"/>
            <w:r w:rsidR="00B61B7C">
              <w:rPr>
                <w:b/>
                <w:sz w:val="17"/>
              </w:rPr>
              <w:t>generico</w:t>
            </w:r>
            <w:proofErr w:type="spellEnd"/>
            <w:r w:rsidR="00B61B7C">
              <w:rPr>
                <w:b/>
                <w:sz w:val="17"/>
              </w:rPr>
              <w:t xml:space="preserve">, </w:t>
            </w:r>
          </w:p>
        </w:tc>
        <w:tc>
          <w:tcPr>
            <w:tcW w:w="6463" w:type="dxa"/>
          </w:tcPr>
          <w:p w14:paraId="32921B3B" w14:textId="77777777" w:rsidR="003C0865" w:rsidRPr="00B61B7C" w:rsidRDefault="00000000">
            <w:pPr>
              <w:rPr>
                <w:lang w:val="es-CO"/>
              </w:rPr>
            </w:pPr>
            <w:r w:rsidRPr="00B61B7C">
              <w:rPr>
                <w:sz w:val="17"/>
                <w:lang w:val="es-CO"/>
              </w:rPr>
              <w:t xml:space="preserve">Poner el nombre en el asunto subió la apertura 20% y los contactos de venta 31% en experimentos con grupos de control (Sahni, Wheeler y </w:t>
            </w:r>
            <w:proofErr w:type="spellStart"/>
            <w:r w:rsidRPr="00B61B7C">
              <w:rPr>
                <w:sz w:val="17"/>
                <w:lang w:val="es-CO"/>
              </w:rPr>
              <w:t>Chintagunta</w:t>
            </w:r>
            <w:proofErr w:type="spellEnd"/>
            <w:r w:rsidRPr="00B61B7C">
              <w:rPr>
                <w:sz w:val="17"/>
                <w:lang w:val="es-CO"/>
              </w:rPr>
              <w:t xml:space="preserve">, Marketing </w:t>
            </w:r>
            <w:proofErr w:type="spellStart"/>
            <w:r w:rsidRPr="00B61B7C">
              <w:rPr>
                <w:sz w:val="17"/>
                <w:lang w:val="es-CO"/>
              </w:rPr>
              <w:t>Science</w:t>
            </w:r>
            <w:proofErr w:type="spellEnd"/>
            <w:r w:rsidRPr="00B61B7C">
              <w:rPr>
                <w:sz w:val="17"/>
                <w:lang w:val="es-CO"/>
              </w:rPr>
              <w:t>, 2018). Un correo sin nombre se lee como masivo y se borra.</w:t>
            </w:r>
          </w:p>
        </w:tc>
      </w:tr>
      <w:tr w:rsidR="003C0865" w:rsidRPr="00B61B7C" w14:paraId="5727B031" w14:textId="77777777">
        <w:tc>
          <w:tcPr>
            <w:tcW w:w="3628" w:type="dxa"/>
          </w:tcPr>
          <w:p w14:paraId="612FB73F" w14:textId="77777777" w:rsidR="003C0865" w:rsidRPr="00B61B7C" w:rsidRDefault="00000000">
            <w:pPr>
              <w:rPr>
                <w:lang w:val="es-CO"/>
              </w:rPr>
            </w:pPr>
            <w:r w:rsidRPr="00B61B7C">
              <w:rPr>
                <w:b/>
                <w:sz w:val="17"/>
                <w:lang w:val="es-CO"/>
              </w:rPr>
              <w:t>La primera línea habla de su empresa; la segunda, de lo que gana: becas con el nombre de su empresa, sin costo para la empresa, y reporte de asistencia.</w:t>
            </w:r>
          </w:p>
        </w:tc>
        <w:tc>
          <w:tcPr>
            <w:tcW w:w="6463" w:type="dxa"/>
          </w:tcPr>
          <w:p w14:paraId="7E95E2B8" w14:textId="77777777" w:rsidR="003C0865" w:rsidRPr="00B61B7C" w:rsidRDefault="00000000">
            <w:pPr>
              <w:rPr>
                <w:lang w:val="es-CO"/>
              </w:rPr>
            </w:pPr>
            <w:r w:rsidRPr="00B61B7C">
              <w:rPr>
                <w:sz w:val="17"/>
                <w:lang w:val="es-CO"/>
              </w:rPr>
              <w:t xml:space="preserve">Lo centrado en el producto baja la respuesta (Gong, 2026). Y en Colombia el 75% de las empresas no da ningún beneficio extrasalarial y la mitad no mide los que da (ACRIP 2024; </w:t>
            </w:r>
            <w:proofErr w:type="spellStart"/>
            <w:r w:rsidRPr="00B61B7C">
              <w:rPr>
                <w:sz w:val="17"/>
                <w:lang w:val="es-CO"/>
              </w:rPr>
              <w:t>elempleo</w:t>
            </w:r>
            <w:proofErr w:type="spellEnd"/>
            <w:r w:rsidRPr="00B61B7C">
              <w:rPr>
                <w:sz w:val="17"/>
                <w:lang w:val="es-CO"/>
              </w:rPr>
              <w:t>). Lo que abre la puerta no es el inglés: es un beneficio que no cuesta y que se puede mostrar.</w:t>
            </w:r>
          </w:p>
        </w:tc>
      </w:tr>
      <w:tr w:rsidR="003C0865" w:rsidRPr="00B61B7C" w14:paraId="32D48F3E" w14:textId="77777777">
        <w:tc>
          <w:tcPr>
            <w:tcW w:w="3628" w:type="dxa"/>
          </w:tcPr>
          <w:p w14:paraId="289F31AD" w14:textId="77777777" w:rsidR="003C0865" w:rsidRPr="00B61B7C" w:rsidRDefault="00000000">
            <w:pPr>
              <w:rPr>
                <w:lang w:val="es-CO"/>
              </w:rPr>
            </w:pPr>
            <w:r w:rsidRPr="00B61B7C">
              <w:rPr>
                <w:b/>
                <w:sz w:val="17"/>
                <w:lang w:val="es-CO"/>
              </w:rPr>
              <w:t>Las virtudes y los hábitos van en una frase, no en lista.</w:t>
            </w:r>
          </w:p>
        </w:tc>
        <w:tc>
          <w:tcPr>
            <w:tcW w:w="6463" w:type="dxa"/>
          </w:tcPr>
          <w:p w14:paraId="7E418692" w14:textId="193F6C5F" w:rsidR="003C0865" w:rsidRPr="00B61B7C" w:rsidRDefault="00000000">
            <w:pPr>
              <w:rPr>
                <w:lang w:val="es-CO"/>
              </w:rPr>
            </w:pPr>
            <w:r w:rsidRPr="00B61B7C">
              <w:rPr>
                <w:sz w:val="17"/>
                <w:lang w:val="es-CO"/>
              </w:rPr>
              <w:t>Sí somos distintos por eso, y sí se dice: junto con el inglés se entrenan puntualidad, constancia y disciplina, y eso se le puede reportar a la empresa. Lo que no va en el primer correo es la lista de once competencias y cuatro virtudes: en 9 segundos de lectura se vuelve catálogo y se lee como promesa. Va en una frase ("y usted ve en el reporte su asistencia, puntualidad y cumplimiento"); la lista completa se cuenta en la reunión, con la causa, en un minuto. Cuando esos hábitos estén en indicadores, el reporte a la empresa los incluye.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C0865" w:rsidRPr="00B61B7C" w14:paraId="4A9CE1B4" w14:textId="77777777">
        <w:tc>
          <w:tcPr>
            <w:tcW w:w="3628" w:type="dxa"/>
          </w:tcPr>
          <w:p w14:paraId="1F880F46" w14:textId="77777777" w:rsidR="003C0865" w:rsidRPr="00B61B7C" w:rsidRDefault="00000000">
            <w:pPr>
              <w:rPr>
                <w:lang w:val="es-CO"/>
              </w:rPr>
            </w:pPr>
            <w:r w:rsidRPr="00B61B7C">
              <w:rPr>
                <w:b/>
                <w:sz w:val="17"/>
                <w:lang w:val="es-CO"/>
              </w:rPr>
              <w:t>Un solo pedido: 15 minutos. En el primer correo se pregunta "¿le interesa?"; el día y la hora van en el segundo o cuando respondan.</w:t>
            </w:r>
          </w:p>
        </w:tc>
        <w:tc>
          <w:tcPr>
            <w:tcW w:w="6463" w:type="dxa"/>
          </w:tcPr>
          <w:p w14:paraId="41BEAA6D" w14:textId="77777777" w:rsidR="003C0865" w:rsidRPr="00B61B7C" w:rsidRDefault="00000000">
            <w:pPr>
              <w:rPr>
                <w:lang w:val="es-CO"/>
              </w:rPr>
            </w:pPr>
            <w:r w:rsidRPr="00B61B7C">
              <w:rPr>
                <w:sz w:val="17"/>
                <w:lang w:val="es-CO"/>
              </w:rPr>
              <w:t>En 304.174 correos, en frío ganó la pregunta de interés; con la conversación ya abierta ganó proponer día y hora. "¿Podríamos agendar una breve conversación?" no ganó en ninguna etapa (Gong Labs, 2020). Por eso el kit se ajusta: dos fechas, sí, pero desde el segundo toque. Si le interesa y no contesta, lo recogen los seguimientos: el segundo correo trae las dos fechas y el tercero es la llamada; por eso la secuencia no para hasta el cuarto toque.</w:t>
            </w:r>
          </w:p>
        </w:tc>
      </w:tr>
      <w:tr w:rsidR="003C0865" w:rsidRPr="00B61B7C" w14:paraId="7293A847" w14:textId="77777777">
        <w:tc>
          <w:tcPr>
            <w:tcW w:w="3628" w:type="dxa"/>
          </w:tcPr>
          <w:p w14:paraId="7F8B8284" w14:textId="77777777" w:rsidR="003C0865" w:rsidRDefault="00000000">
            <w:r w:rsidRPr="00B61B7C">
              <w:rPr>
                <w:b/>
                <w:sz w:val="17"/>
                <w:lang w:val="es-CO"/>
              </w:rPr>
              <w:t xml:space="preserve">Cuatro toques: correo, correo en el mismo hilo, llamada o LinkedIn, cierre. </w:t>
            </w:r>
            <w:r>
              <w:rPr>
                <w:b/>
                <w:sz w:val="17"/>
              </w:rPr>
              <w:t xml:space="preserve">Cada uno </w:t>
            </w:r>
            <w:proofErr w:type="spellStart"/>
            <w:r>
              <w:rPr>
                <w:b/>
                <w:sz w:val="17"/>
              </w:rPr>
              <w:t>trae</w:t>
            </w:r>
            <w:proofErr w:type="spellEnd"/>
            <w:r>
              <w:rPr>
                <w:b/>
                <w:sz w:val="17"/>
              </w:rPr>
              <w:t xml:space="preserve"> algo nuevo.</w:t>
            </w:r>
          </w:p>
        </w:tc>
        <w:tc>
          <w:tcPr>
            <w:tcW w:w="6463" w:type="dxa"/>
          </w:tcPr>
          <w:p w14:paraId="261AF0C6" w14:textId="77777777" w:rsidR="003C0865" w:rsidRPr="00B61B7C" w:rsidRDefault="00000000">
            <w:pPr>
              <w:rPr>
                <w:lang w:val="es-CO"/>
              </w:rPr>
            </w:pPr>
            <w:r w:rsidRPr="00B61B7C">
              <w:rPr>
                <w:sz w:val="17"/>
                <w:lang w:val="es-CO"/>
              </w:rPr>
              <w:t>Entre el 42% y el 59% de las respuestas llega en los seguimientos (</w:t>
            </w:r>
            <w:proofErr w:type="spellStart"/>
            <w:r w:rsidRPr="00B61B7C">
              <w:rPr>
                <w:sz w:val="17"/>
                <w:lang w:val="es-CO"/>
              </w:rPr>
              <w:t>Instantly</w:t>
            </w:r>
            <w:proofErr w:type="spellEnd"/>
            <w:r w:rsidRPr="00B61B7C">
              <w:rPr>
                <w:sz w:val="17"/>
                <w:lang w:val="es-CO"/>
              </w:rPr>
              <w:t xml:space="preserve"> y </w:t>
            </w:r>
            <w:proofErr w:type="spellStart"/>
            <w:r w:rsidRPr="00B61B7C">
              <w:rPr>
                <w:sz w:val="17"/>
                <w:lang w:val="es-CO"/>
              </w:rPr>
              <w:t>Belkins</w:t>
            </w:r>
            <w:proofErr w:type="spellEnd"/>
            <w:r w:rsidRPr="00B61B7C">
              <w:rPr>
                <w:sz w:val="17"/>
                <w:lang w:val="es-CO"/>
              </w:rPr>
              <w:t>, 2026). Un seguimiento sube las respuestas 66% (</w:t>
            </w:r>
            <w:proofErr w:type="spellStart"/>
            <w:r w:rsidRPr="00B61B7C">
              <w:rPr>
                <w:sz w:val="17"/>
                <w:lang w:val="es-CO"/>
              </w:rPr>
              <w:t>Backlinko</w:t>
            </w:r>
            <w:proofErr w:type="spellEnd"/>
            <w:r w:rsidRPr="00B61B7C">
              <w:rPr>
                <w:sz w:val="17"/>
                <w:lang w:val="es-CO"/>
              </w:rPr>
              <w:t>). Más de cuatro toques solo suben las quejas.</w:t>
            </w:r>
          </w:p>
        </w:tc>
      </w:tr>
      <w:tr w:rsidR="003C0865" w:rsidRPr="00B61B7C" w14:paraId="34CE0BB1" w14:textId="77777777">
        <w:tc>
          <w:tcPr>
            <w:tcW w:w="3628" w:type="dxa"/>
          </w:tcPr>
          <w:p w14:paraId="25ABAF85" w14:textId="77777777" w:rsidR="003C0865" w:rsidRPr="00B61B7C" w:rsidRDefault="00000000">
            <w:pPr>
              <w:rPr>
                <w:lang w:val="es-CO"/>
              </w:rPr>
            </w:pPr>
            <w:r w:rsidRPr="00B61B7C">
              <w:rPr>
                <w:b/>
                <w:sz w:val="17"/>
                <w:lang w:val="es-CO"/>
              </w:rPr>
              <w:t>Sin adjuntos ni enlaces en el primer correo, y desde el correo de la academia.</w:t>
            </w:r>
          </w:p>
        </w:tc>
        <w:tc>
          <w:tcPr>
            <w:tcW w:w="6463" w:type="dxa"/>
          </w:tcPr>
          <w:p w14:paraId="46794161" w14:textId="66BB6DC8" w:rsidR="003C0865" w:rsidRPr="00B61B7C" w:rsidRDefault="00000000">
            <w:pPr>
              <w:rPr>
                <w:lang w:val="es-CO"/>
              </w:rPr>
            </w:pPr>
            <w:r w:rsidRPr="00B61B7C">
              <w:rPr>
                <w:sz w:val="17"/>
                <w:lang w:val="es-CO"/>
              </w:rPr>
              <w:t>El dominio propio responde el doble que un correo gratuito (Hunter, 2025, 31 millones de correos). Los adjuntos afectan la entrega. Por eso el cargo escribe desde la cuenta institucional ger.alianzas@heiiu.com, que coordinación entrega mañana con su clave.</w:t>
            </w:r>
            <w:proofErr w:type="gramStart"/>
            <w:proofErr w:type="gramEnd"/>
          </w:p>
        </w:tc>
      </w:tr>
      <w:tr w:rsidR="003C0865" w:rsidRPr="00B61B7C" w14:paraId="4DF36B6B" w14:textId="77777777">
        <w:tc>
          <w:tcPr>
            <w:tcW w:w="3628" w:type="dxa"/>
          </w:tcPr>
          <w:p w14:paraId="5FA35CE4" w14:textId="77777777" w:rsidR="003C0865" w:rsidRPr="00B61B7C" w:rsidRDefault="00000000">
            <w:pPr>
              <w:rPr>
                <w:lang w:val="es-CO"/>
              </w:rPr>
            </w:pPr>
            <w:r w:rsidRPr="00B61B7C">
              <w:rPr>
                <w:b/>
                <w:sz w:val="17"/>
                <w:lang w:val="es-CO"/>
              </w:rPr>
              <w:t>WhatsApp solo cuando la persona dio su número o un referido lo autorizó.</w:t>
            </w:r>
          </w:p>
        </w:tc>
        <w:tc>
          <w:tcPr>
            <w:tcW w:w="6463" w:type="dxa"/>
          </w:tcPr>
          <w:p w14:paraId="192F7DA2" w14:textId="35CFF74B" w:rsidR="003C0865" w:rsidRPr="00B61B7C" w:rsidRDefault="00000000">
            <w:pPr>
              <w:rPr>
                <w:lang w:val="es-CO"/>
              </w:rPr>
            </w:pPr>
            <w:r w:rsidRPr="00B61B7C">
              <w:rPr>
                <w:sz w:val="17"/>
                <w:lang w:val="es-CO"/>
              </w:rPr>
              <w:t>La política de WhatsApp (Meta, septiembre de 2026) exige número y permiso; sin eso se arriesga la línea. Además, el celular personal de un gerente es dato personal (Ley 1581). Si ya hubo contacto y la persona dio su número (en una reunión, con su tarjeta o escribiendo primero), sí se le puede escribir por WhatsApp.</w:t>
            </w:r>
            <w:proofErr w:type="gramStart"/>
            <w:proofErr w:type="gramEnd"/>
          </w:p>
        </w:tc>
      </w:tr>
      <w:tr w:rsidR="003C0865" w:rsidRPr="00B61B7C" w14:paraId="33F5A224" w14:textId="77777777">
        <w:tc>
          <w:tcPr>
            <w:tcW w:w="3628" w:type="dxa"/>
          </w:tcPr>
          <w:p w14:paraId="0E6CD139" w14:textId="77777777" w:rsidR="003C0865" w:rsidRPr="00B61B7C" w:rsidRDefault="00000000">
            <w:pPr>
              <w:rPr>
                <w:lang w:val="es-CO"/>
              </w:rPr>
            </w:pPr>
            <w:r w:rsidRPr="00B61B7C">
              <w:rPr>
                <w:b/>
                <w:sz w:val="17"/>
                <w:lang w:val="es-CO"/>
              </w:rPr>
              <w:t>Correo en horario laboral; llamadas y WhatsApp con horario, un contacto al día y salida en cada mensaje.</w:t>
            </w:r>
          </w:p>
        </w:tc>
        <w:tc>
          <w:tcPr>
            <w:tcW w:w="6463" w:type="dxa"/>
          </w:tcPr>
          <w:p w14:paraId="7FA33A04" w14:textId="1EEA13D9" w:rsidR="003C0865" w:rsidRPr="00B61B7C" w:rsidRDefault="00000000">
            <w:pPr>
              <w:rPr>
                <w:lang w:val="es-CO"/>
              </w:rPr>
            </w:pPr>
            <w:r w:rsidRPr="00B61B7C">
              <w:rPr>
                <w:sz w:val="17"/>
                <w:lang w:val="es-CO"/>
              </w:rPr>
              <w:t>Para el correo basta con enviarlo en horario laboral: el gerente lo abre cuando quiere. Las normas de horario y frecuencia (Ley 2300) y el Registro de Números Excluidos pesan en la llamada y en el WhatsApp: horario de oficina, un contacto al día y el registro solo para celulares personales. Llamar al teléfono publicado de la empresa sí se puede.</w:t>
            </w:r>
            <w:proofErr w:type="spellStart"/>
            <w:proofErr w:type="spellEnd"/>
          </w:p>
        </w:tc>
      </w:tr>
    </w:tbl>
    <w:p w14:paraId="715A0E20" w14:textId="77777777" w:rsidR="003C0865" w:rsidRPr="00B61B7C" w:rsidRDefault="003C0865">
      <w:pPr>
        <w:spacing w:after="0"/>
        <w:rPr>
          <w:lang w:val="es-CO"/>
        </w:rPr>
      </w:pPr>
    </w:p>
    <w:p w14:paraId="26DCD3AB" w14:textId="77777777" w:rsidR="003C0865" w:rsidRPr="00B61B7C" w:rsidRDefault="00000000">
      <w:pPr>
        <w:spacing w:before="100" w:after="20"/>
        <w:rPr>
          <w:lang w:val="es-CO"/>
        </w:rPr>
      </w:pPr>
      <w:r w:rsidRPr="00B61B7C">
        <w:rPr>
          <w:b/>
          <w:color w:val="E54C09"/>
          <w:sz w:val="21"/>
          <w:lang w:val="es-CO"/>
        </w:rPr>
        <w:t>Lo que no sabemos todavía, y lo vamos a saber con el tablero</w:t>
      </w:r>
    </w:p>
    <w:p w14:paraId="00B10C49" w14:textId="77777777" w:rsidR="003C0865" w:rsidRPr="00B61B7C" w:rsidRDefault="00000000">
      <w:pPr>
        <w:spacing w:after="60"/>
        <w:rPr>
          <w:lang w:val="es-CO"/>
        </w:rPr>
      </w:pPr>
      <w:r w:rsidRPr="00B61B7C">
        <w:rPr>
          <w:lang w:val="es-CO"/>
        </w:rPr>
        <w:t>Cuántas empresas de Bucaramanga responden a un correo así, cuántas a una llamada al teléfono publicado de la empresa y cuántas a una visita. La meta de arranque es entre 5% y 10% de respuesta y una reunión por cada 8 a 12 empresas que completen los cuatro toques; es un supuesto, y en cuatro semanas el tablero dice si es verdad. Por eso cada toque se anota el mismo día: sin registro no hay forma de aprender.</w:t>
      </w:r>
    </w:p>
    <w:tbl>
      <w:tblPr>
        <w:tblStyle w:val="TableGrid"/>
        <w:tblW w:w="0" w:type="auto"/>
        <w:tblLook w:val="04A0" w:firstRow="1" w:lastRow="0" w:firstColumn="1" w:lastColumn="0" w:noHBand="0" w:noVBand="1"/>
      </w:tblPr>
      <w:tblGrid>
        <w:gridCol w:w="10766"/>
      </w:tblGrid>
      <w:tr w:rsidR="003C0865" w:rsidRPr="00B61B7C" w14:paraId="27DCE234" w14:textId="77777777">
        <w:tc>
          <w:tcPr>
            <w:tcW w:w="10766" w:type="dxa"/>
            <w:shd w:val="clear" w:color="auto" w:fill="FFF8E7"/>
          </w:tcPr>
          <w:p w14:paraId="2330F2BC" w14:textId="0E236594" w:rsidR="003C0865" w:rsidRPr="00B61B7C" w:rsidRDefault="00000000">
            <w:pPr>
              <w:rPr>
                <w:lang w:val="es-CO"/>
              </w:rPr>
            </w:pPr>
            <w:r w:rsidRPr="00B61B7C">
              <w:rPr>
                <w:lang w:val="es-CO"/>
              </w:rPr>
              <w:t>Si en la calle algo contradice esta hoja (una empresa que respondió a la llamada y no al correo, una que pidió la propuesta por WhatsApp), se anota en el tablero y se trae al seguimiento. Las reglas salieron de datos; con datos nuestros se cambian.</w:t>
            </w:r>
            <w:proofErr w:type="gramStart"/>
            <w:proofErr w:type="gramEnd"/>
          </w:p>
        </w:tc>
      </w:tr>
    </w:tbl>
    <w:p w14:paraId="5FDEA3F1" w14:textId="77777777" w:rsidR="003C0865" w:rsidRPr="00B61B7C" w:rsidRDefault="003C0865">
      <w:pPr>
        <w:spacing w:after="0"/>
        <w:rPr>
          <w:lang w:val="es-CO"/>
        </w:rPr>
      </w:pPr>
    </w:p>
    <w:p w14:paraId="7B443BD6" w14:textId="77777777" w:rsidR="003C0865" w:rsidRPr="00B61B7C" w:rsidRDefault="00000000">
      <w:pPr>
        <w:spacing w:after="0"/>
        <w:rPr>
          <w:lang w:val="es-CO"/>
        </w:rPr>
      </w:pPr>
      <w:r w:rsidRPr="00B61B7C">
        <w:rPr>
          <w:color w:val="666666"/>
          <w:sz w:val="17"/>
          <w:lang w:val="es-CO"/>
        </w:rPr>
        <w:t>Fuente completa: INVESTIGACION_CONTACTO_FRIO_EMPRESAS_2026-10-21 (en gerencia).</w:t>
      </w:r>
    </w:p>
    <w:sectPr w:rsidR="003C0865" w:rsidRPr="00B61B7C" w:rsidSect="00034616">
      <w:pgSz w:w="12240" w:h="15840"/>
      <w:pgMar w:top="510" w:right="737" w:bottom="39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725901">
    <w:abstractNumId w:val="8"/>
  </w:num>
  <w:num w:numId="2" w16cid:durableId="1088384464">
    <w:abstractNumId w:val="6"/>
  </w:num>
  <w:num w:numId="3" w16cid:durableId="902374465">
    <w:abstractNumId w:val="5"/>
  </w:num>
  <w:num w:numId="4" w16cid:durableId="273247052">
    <w:abstractNumId w:val="4"/>
  </w:num>
  <w:num w:numId="5" w16cid:durableId="1472164166">
    <w:abstractNumId w:val="7"/>
  </w:num>
  <w:num w:numId="6" w16cid:durableId="1942103116">
    <w:abstractNumId w:val="3"/>
  </w:num>
  <w:num w:numId="7" w16cid:durableId="1987464839">
    <w:abstractNumId w:val="2"/>
  </w:num>
  <w:num w:numId="8" w16cid:durableId="322199955">
    <w:abstractNumId w:val="1"/>
  </w:num>
  <w:num w:numId="9" w16cid:durableId="103704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90"/>
    <w:rsid w:val="0015074B"/>
    <w:rsid w:val="0029639D"/>
    <w:rsid w:val="00326F90"/>
    <w:rsid w:val="003C0865"/>
    <w:rsid w:val="00AA1D8D"/>
    <w:rsid w:val="00B47730"/>
    <w:rsid w:val="00B61B7C"/>
    <w:rsid w:val="00C77E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0AD30"/>
  <w14:defaultImageDpi w14:val="300"/>
  <w15:docId w15:val="{2AB8FB51-F2AF-4E16-AF94-29A0B2B4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871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Gomez</cp:lastModifiedBy>
  <cp:revision>2</cp:revision>
  <dcterms:created xsi:type="dcterms:W3CDTF">2013-12-23T23:15:00Z</dcterms:created>
  <dcterms:modified xsi:type="dcterms:W3CDTF">2026-10-22T04:17:00Z</dcterms:modified>
  <cp:category/>
</cp:coreProperties>
</file>