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en dos cortes: al día treinta (30) del contrato, EL TRABAJADOR debe acreditar al menos una venta firmada con pago inicial recibido o una alianza activada; al día cuarenta y cinco (45), recaudo efectivo en caja de EL EMPLEADOR (pagos de contado e iniciales) por al menos treinta millones de pesos ($30.000.000), proveniente de ventas de EL TRABAJADOR por cualquier canal (plan empresa, alianzas, programas personalizados o base de la academia; para esta evaluación las ventas de la base de la academia se computan por el cien por ciento de su valor). Esos resultados son criterio de la evaluación del período de prueba y no modifican el ingreso mínimo garantizado de la cláusula 4.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 seguimiento diario a hora fija, de lunes a viernes, preparado y presentado por EL TRABAJADOR, con registro escrito: los lunes, presencial en la sede de EL EMPLEADOR, treinta (30) minutos de planeación de la semana; de martes a jueves, virtual, quince (15) minutos de avance frente al plan; los viernes, presencial en la sede, treinta (30) minutos de cierre de la semana con resultados frente al plan. Las sesiones presenciales son con gerencia o con quien gerencia designe.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