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accede a la columna Transformación (45% de contado / 36% a cuotas en el programa completo), sin exigir estrato. No se acumula con otros beneficios.</w:t>
      </w:r>
    </w:p>
    <w:p>
      <w:pPr>
        <w:spacing w:after="80"/>
      </w:pPr>
      <w:r>
        <w:rPr>
          <w:b w:val="0"/>
          <w:sz w:val="21"/>
        </w:rPr>
        <w:t>3.5 — Convenio Empresa Aliada (Heiiu Business Partner, iniciativa Go Above and Beyond): (a) todo colaborador de una empresa aliada que presente carta de postulación de su empresa accede a la columna Transformación, igual que el afiliado a Cajasan; (b) Beca [Empresa]: hasta TRES colaboradores por empresa y por TRIMESTRE calendario, elegidos por la empresa, reciben el porcentaje de contado de la columna Transformación (45% en el programa completo) aunque paguen a cuotas, más los libros del programa y prioridad de cupo; si los tres cumplen las condiciones de permanencia, la empresa desbloquea hasta dos becas adicionales para el trimestre siguiente (las no usadas no se acumulan); (c) los beneficios no se acumulan: se aplica el mejor; (d) las becas por empresa entran en el cupo trimestral de la columna Transformación.</w:t>
      </w:r>
    </w:p>
    <w:p>
      <w:pPr>
        <w:spacing w:after="80"/>
      </w:pPr>
      <w:r>
        <w:rPr>
          <w:b w:val="0"/>
          <w:sz w:val="21"/>
        </w:rPr>
        <w:t>3.6 — Tarifa corporativa (fuera del Fondo): cuando una empresa paga directamente el programa de sus colaboradores (mínimo tres cupos), no aplica beca personal: aplica la tarifa corporativa por volumen que fija gerencia, equivalente al valor de contado de la columna Transformación, con factura a la empresa y copago permitido. Lo negocia y firma gerencia.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