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Emprendedor al terminar A2 (su página web + su primer mensaje de venta en inglés).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Jornadas del ARRANQUE (cohorte del 5 de octubre · desde 17 años)</w:t>
      </w:r>
    </w:p>
    <w:p>
      <w:pPr>
        <w:spacing w:after="60"/>
      </w:pPr>
      <w:r>
        <w:rPr>
          <w:b w:val="0"/>
          <w:sz w:val="24"/>
        </w:rPr>
        <w:t>· Mañana 8:00 AM-12:00 PM (super intensivo) o Noche 6:30-8:30 PM. 20 cupos en TOTAL.</w:t>
      </w:r>
    </w:p>
    <w:p>
      <w:pPr>
        <w:spacing w:after="60"/>
      </w:pPr>
      <w:r>
        <w:rPr>
          <w:b/>
          <w:sz w:val="24"/>
        </w:rPr>
        <w:t>· La jornada NO se empuja: la definen el horario del cliente y su bolsillo — la mañana es super intensivo (máx 2 cuotas), la noche es intensivo (hasta 4 cuotas). La asesora solo INFORMA cómo van: "el grupo de la mañana ya va en [N]".</w:t>
      </w:r>
    </w:p>
    <w:p>
      <w:pPr>
        <w:spacing w:after="60"/>
      </w:pPr>
      <w:r>
        <w:rPr>
          <w:b w:val="0"/>
          <w:sz w:val="24"/>
        </w:rPr>
        <w:t>· Cada jornada abre con grupo mínimo (6). Se le dice ANTES de firmar: "si tu jornada no completa el mínimo, eliges: te pasas a la otra o esperas la siguiente cohorte con tu cupo y precio congelados". Nunca de sorpresa después. La consolidación de grupos la decide gerencia al cierre de cupos.</w:t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4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after="60"/>
      </w:pPr>
      <w:r>
        <w:rPr>
          <w:b w:val="0"/>
          <w:sz w:val="24"/>
        </w:rPr>
        <w:t>4. FORMACIÓN: "Aquí no solo aprendes inglés: cada clase abre trabajando una virtud — disciplina, prudencia, constancia — aterrizada en conductas concretas del aula." · Al papá: "le devolvemos un hijo más responsable — en inglés." · Al adulto: "la garantía existe porque el programa entrena los hábitos que te hacen cumplir."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"Es muy caro" / "En Smart es más barato"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"Hagamos la cuenta real: el programa completo son 575 horas presenciales — te sale a poco más de $10.000 la hora de clase real, con libros, certificado y garantía firmada incluidos. Pídele a cualquier otra academia el precio FINAL y divídelo por las horas que de verdad te dan. Ahí comparamos." (Solo si el cliente saca el precio — nunca abrir con esto.)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"Me quiero ir de Au Pair / niñera — no me interesa la página web"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"¡Perfecto! Para irte el requisito #1 ES el inglés conversacional — este programa es tu pasaporte, y trabajamos solo con operadores VERIFICADOS de Au Pair. El módulo emprendedor viene incluido, no cuesta aparte y no es requisito: la mayoría vuelve al año con dólares ahorrados, y ahí ese módulo vale oro. Lo tienes ganado para cuando quieras." (El precio JAMÁS baja por no usar un componente — paquete no separable.)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aplican descuento por forma de pago (contado 20% · cuotas 10% + interés · Cajasan 30%).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cuotas; los intereses del crédito directo van aparte (abajo).</w:t>
      </w:r>
    </w:p>
    <w:p>
      <w:pPr>
        <w:spacing w:before="140" w:after="60"/>
      </w:pPr>
      <w:r>
        <w:rPr>
          <w:b/>
          <w:color w:val="222222"/>
          <w:sz w:val="27"/>
        </w:rPr>
        <w:t>CAJASAN: se pregunta SIEMPRE, se registra SIEMPRE</w:t>
      </w:r>
    </w:p>
    <w:p>
      <w:pPr>
        <w:spacing w:after="60"/>
      </w:pPr>
      <w:r>
        <w:rPr>
          <w:b/>
          <w:sz w:val="24"/>
        </w:rPr>
        <w:t>En TODA cita: "¿Eres afiliado a Cajasan?" — y se anota en su ficha, pague de contado o a cuotas: el reporte de afiliados atendidos es lo que mantiene viva la alianza (única academia de inglés con este convenio).</w:t>
      </w:r>
    </w:p>
    <w:p>
      <w:pPr>
        <w:spacing w:after="60"/>
      </w:pPr>
      <w:r>
        <w:rPr>
          <w:b w:val="0"/>
          <w:sz w:val="24"/>
        </w:rPr>
        <w:t>BENEFICIO DEL CONVENIO: el afiliado que paga a cuotas recibe la beca de CONTADO de su perfil (empleado formal = menos riesgo, el Fondo le sostiene el % pleno). Se verifica con carné o certificado de afiliación.</w:t>
      </w:r>
    </w:p>
    <w:p>
      <w:pPr>
        <w:spacing w:after="60"/>
      </w:pPr>
      <w:r>
        <w:rPr>
          <w:b/>
          <w:sz w:val="24"/>
        </w:rPr>
        <w:t>JAMÁS se le envía a pedir crédito o libranza a Cajasan: tienen su propio programa de inglés — no les hacemos publicidad.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efectivo o tarjeta débito.</w:t>
      </w:r>
    </w:p>
    <w:p>
      <w:pPr>
        <w:spacing w:after="60"/>
      </w:pPr>
      <w:r>
        <w:rPr>
          <w:b w:val="0"/>
          <w:sz w:val="24"/>
        </w:rPr>
        <w:t>2. TARJETA DE CRÉDITO del cliente: para Heiiu es pago de contado (aplica la beca de contado) y él difiere con su banco.</w:t>
      </w:r>
    </w:p>
    <w:p>
      <w:pPr>
        <w:spacing w:after="60"/>
      </w:pPr>
      <w:r>
        <w:rPr>
          <w:b/>
          <w:sz w:val="24"/>
        </w:rPr>
        <w:t>3. CRÉDITO DIRECTO HEIIU — ÚLTIMO recurso, solo si nada de lo anterior aplica: beca de cuotas (o de contado si es afiliado Cajasan) + interés del 1,9% mensual sobre saldo. Separación de cupo $300.000 (se cruza con la inicial)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DEL CRÉDITO: el estudiante termina de PAGAR antes de terminar el programa — por eso el máximo de cuotas depende de la modalidad.</w:t>
      </w:r>
    </w:p>
    <w:p>
      <w:pPr>
        <w:spacing w:after="60"/>
      </w:pPr>
      <w:r>
        <w:rPr>
          <w:b w:val="0"/>
          <w:sz w:val="24"/>
        </w:rPr>
        <w:t>· La tabla de arriba usa los máximos del INTENSIVO (10h/semana): completo ~14 meses, A2→B2 ~12, B1→B2 ~9, Solo B2 ~5.</w:t>
      </w:r>
    </w:p>
    <w:p>
      <w:pPr>
        <w:spacing w:after="60"/>
      </w:pPr>
      <w:r>
        <w:rPr>
          <w:b w:val="0"/>
          <w:sz w:val="24"/>
        </w:rPr>
        <w:t>· En SUPER INTENSIVO (20h/semana) el programa dura la mitad y las cuotas bajan: completo y A2→B2 máximo 5 cuotas · B1→B2 máximo 3 · Solo B2 prácticamente de contado.</w:t>
      </w:r>
    </w:p>
    <w:p>
      <w:pPr>
        <w:spacing w:after="60"/>
      </w:pPr>
      <w:r>
        <w:rPr>
          <w:b w:val="0"/>
          <w:sz w:val="24"/>
        </w:rPr>
        <w:t>Para otra cuota inicial u otro número de cuotas: MOTOR_CUOTAS_FONDO_2026.xlsx (interno)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¿Y el ARRANQUE ($2.990.000)? Sin becas — pero misma escalera de pago</w:t>
      </w:r>
    </w:p>
    <w:p>
      <w:pPr>
        <w:spacing w:after="60"/>
      </w:pPr>
      <w:r>
        <w:rPr>
          <w:b w:val="0"/>
          <w:sz w:val="24"/>
        </w:rPr>
        <w:t>Contado o tarjeta: igual que arriba. Si toca crédito directo (1,9% mensual, separación $300.000 → inicial mín 20% a 3 días → cuotas desde día 30), el tope de cuotas sale de la duración (200 horas):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Modalidad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Dura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Máx cuotas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Cuota tipo (inicial 20% = $598.000)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Super intensivo 20h/sem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~2,5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 cuotas de $1.230.193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Intensivo 10h/sem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~5 meses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 cuotas de $626.672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Con inicial del 50% ($1.495.000) el intensivo baja a 4 cuotas de $391.670. Otros escenarios: hoja ARRANQUE del motor de cuotas.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p>
      <w:pPr>
        <w:spacing w:after="60"/>
      </w:pPr>
      <w:r>
        <w:rPr>
          <w:b/>
          <w:sz w:val="24"/>
        </w:rPr>
        <w:t>LA FECHA SE CUMPLE. Si venció, venció: la re-presentación de la solicitud es real, no teatro. Una sola excepción conocida y el Fondo pierde toda su fuerza — el cliente se da cuenta.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