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Colaborador con ingresos hasta 1.5 SMMLV + carta de la empresa + desprendible de nómina = soporte válido para la BECA TRANSFORMACIÓN (techo 45%), dentro de los cupos trimestrales del Fondo.</w:t>
      </w:r>
    </w:p>
    <w:p>
      <w:pPr>
        <w:spacing w:after="80"/>
      </w:pPr>
      <w:r>
        <w:rPr>
          <w:b w:val="0"/>
          <w:sz w:val="22"/>
        </w:rPr>
        <w:t>· Los demás colaboradores de la empresa aliada reciben el BENEFICIO DE CONVENIO: pagan a cuotas con el porcentaje de contado de su perfil.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salen firmadas por el rol Corporate Partnerships Officer únicamente cuando su contrato (con cláusula de propiedad intelectual) esté FIRMADO.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