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1F4E79"/>
          <w:sz w:val="44"/>
        </w:rPr>
        <w:t>Automotive Tool Research Reference</w:t>
      </w:r>
    </w:p>
    <w:p>
      <w:pPr>
        <w:jc w:val="center"/>
      </w:pPr>
      <w:r>
        <w:rPr>
          <w:i/>
          <w:sz w:val="21"/>
        </w:rPr>
        <w:t>Extraction-first troubleshooting notes from the uploaded executables, archives, DLLs, shortcuts, and related RFH binaries</w:t>
      </w:r>
    </w:p>
    <w:p>
      <w:pPr>
        <w:jc w:val="center"/>
      </w:pPr>
      <w:r>
        <w:rPr>
          <w:b/>
        </w:rPr>
        <w:t>Date: 2026-04-30</w:t>
        <w:br/>
      </w:r>
      <w:r>
        <w:t>Scope: research data only; no reconstruction, no pseudocode, no implementation guidance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This report organizes confirmed observations, high-confidence clues, and open gaps into troubleshooting buckets such as checksums/CVN, UDS commands by module, VIN-related data, transport timing, and license/crypto artifacts.</w:t>
            </w:r>
          </w:p>
        </w:tc>
      </w:tr>
    </w:tbl>
    <w:p/>
    <w:p>
      <w:pPr>
        <w:pStyle w:val="Heading1"/>
      </w:pPr>
      <w:r>
        <w:t>Quick Assessment</w:t>
      </w:r>
    </w:p>
    <w:p>
      <w:pPr>
        <w:pStyle w:val="ListBullet"/>
      </w:pPr>
      <w:r>
        <w:t>The cleanest byte-level diagnostic evidence came from the extracted Python payload inside FCA PROXI Tool. That payload directly exposed 29-bit CAN ID logic, tester bytes, UDS service requests, positive/negative response checks, and timeout values.</w:t>
      </w:r>
    </w:p>
    <w:p>
      <w:pPr>
        <w:pStyle w:val="ListBullet"/>
      </w:pPr>
      <w:r>
        <w:t>The strongest checksum/CVN evidence came from FTAG. Its README, SQLite catalog, and KTagFamTable strings confirm checksum and CVN-oriented functionality across many ECU families, even where the exact formulas are not visible in the current artifact set.</w:t>
      </w:r>
    </w:p>
    <w:p>
      <w:pPr>
        <w:pStyle w:val="ListBullet"/>
      </w:pPr>
      <w:r>
        <w:t>AlfaOBD provided the broadest FCA/Stellantis ECU-family inventory and transport stack clues, including J2534, serial, Bluetooth, timeout setters, and many Chrysler/CUSW/RFH/body module identifiers.</w:t>
      </w:r>
    </w:p>
    <w:p>
      <w:pPr>
        <w:pStyle w:val="ListBullet"/>
      </w:pPr>
      <w:r>
        <w:t>AEMT and ECU-VILLAIN are much more protected. They still yield identity, packaging, crypto stack, and some string-level module clues, but not the same level of stable algorithm detail as FTAG and PROXI.</w:t>
      </w:r>
    </w:p>
    <w:p>
      <w:pPr>
        <w:pStyle w:val="Heading1"/>
      </w:pPr>
      <w:r>
        <w:t>Analyzed Files and Hashes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b/>
              </w:rPr>
              <w:t>Artifact</w:t>
            </w:r>
          </w:p>
        </w:tc>
        <w:tc>
          <w:tcPr>
            <w:tcW w:type="dxa" w:w="326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b/>
              </w:rPr>
              <w:t>Identity</w:t>
            </w:r>
          </w:p>
        </w:tc>
        <w:tc>
          <w:tcPr>
            <w:tcW w:type="dxa" w:w="326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b/>
              </w:rPr>
              <w:t>SHA-256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01-AlfaOBD.exe</w:t>
            </w:r>
          </w:p>
        </w:tc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Managed .NET diagnostic app</w:t>
            </w:r>
          </w:p>
        </w:tc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098fb9224abbe6d723b923296a5ace045aff52a69567bf59610c3ab374209be6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02-shfolder-1-.dll</w:t>
            </w:r>
          </w:p>
        </w:tc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Protected helper DLL / loader</w:t>
            </w:r>
          </w:p>
        </w:tc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9eae2bd892376367379d0083c1d0eb9d237a2644e330e5c7d3cf1dce06ce4822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11-aemt.exe / 16-aemt-1-.exe</w:t>
            </w:r>
          </w:p>
        </w:tc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Protected Python bootstrap executable</w:t>
            </w:r>
          </w:p>
        </w:tc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4e0a328eed9110db1d5f8e7ea46d1be9f7b277f7d96b17effbf7033ad4988dc8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15-FCA-PROXI-Tool.exe</w:t>
            </w:r>
          </w:p>
        </w:tc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PyInstaller one-file Python app</w:t>
            </w:r>
          </w:p>
        </w:tc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4aeb893514f1ff56b386da9181e40384b5370c85309cba901d756918c49e2ebc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12-ECU-VILLAIN-2-.zip</w:t>
            </w:r>
          </w:p>
        </w:tc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Python/Qt package archive</w:t>
            </w:r>
          </w:p>
        </w:tc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c6110457ebd3cfdc6ceaac8453855791fd9f584ea5d9c0c85c1f485266eca321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13-FTAG.zip</w:t>
            </w:r>
          </w:p>
        </w:tc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ECU catalog / checksum-oriented tool bundle</w:t>
            </w:r>
          </w:p>
        </w:tc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c34b79b661c62b3c20de3ef539a6f638c83e76c98dee6950f8aa6e39d89cf013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14-PROXI-TOOL-CRACK-OBD2-2-.zip</w:t>
            </w:r>
          </w:p>
        </w:tc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Bundled PROXI package with copied license files</w:t>
            </w:r>
          </w:p>
        </w:tc>
        <w:tc>
          <w:tcPr>
            <w:tcW w:type="dxa" w:w="32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fb59a0a19bce525a5ee1c7ff2f47d5550fc7992d753f3514d4020937dfa61e35</w:t>
            </w:r>
          </w:p>
        </w:tc>
      </w:tr>
    </w:tbl>
    <w:p>
      <w:r>
        <w:t>Shortcut files also confirmed expected install paths for APNT, FTAG, AEMT, ECU-VILLAIN, GPEC tools, RadioCodeDatabase, and the PROXI package. Those shortcuts are useful as environment clues but do not contain the real payload logic.</w:t>
      </w:r>
    </w:p>
    <w:p>
      <w:pPr>
        <w:pStyle w:val="Heading1"/>
      </w:pPr>
      <w:r>
        <w:t>Checksums, CVN, and Integrity</w:t>
      </w:r>
    </w:p>
    <w:p>
      <w:pPr>
        <w:pStyle w:val="Heading2"/>
      </w:pPr>
      <w:r>
        <w:t>FTAG: confirmed checksum/CVN-facing evidence</w:t>
      </w:r>
    </w:p>
    <w:p>
      <w:pPr>
        <w:pStyle w:val="ListBullet"/>
      </w:pPr>
      <w:r>
        <w:t>README states: “Testing and fixing checksums of ECU dump files, including MD1/MG1 and others,” and “Added CVN fix (PCR2.1 and SIMOS 18).”</w:t>
      </w:r>
    </w:p>
    <w:p>
      <w:pPr>
        <w:pStyle w:val="ListBullet"/>
      </w:pPr>
      <w:r>
        <w:t>KTagFamTable.dll exposes checksum-oriented entry names including LoaderCalcolaChecksum, LoaderCalcolaChecksumAndCVN, get_cks_AT, get_cks_denso_renesas, get_cks_delphi_dcm35, get_cks_dcm37, get_cks_gm_nexus, get_cks_valeo_v40, get_cks_volvo, get_cks_get_cks_ngc5, get_cks_get_cks_renesas, get_cks_get_cks_isuzu_transtron, get_cks_vag_me7_F800, get_cks_iaw_* families, and several generic get_cks_prt_gen_* handlers.</w:t>
      </w:r>
    </w:p>
    <w:p>
      <w:pPr>
        <w:pStyle w:val="ListBullet"/>
      </w:pPr>
      <w:r>
        <w:t>Patch-oriented names also appear in the same DLL: LoaderPatchGPEC2, LoaderPatchContinentalMCM21D4, LoaderPatchContinentalSID3XX, LoaderPatchEDC17VOLVO, LoaderPatchEMS2207, LoaderPatchValeo.</w:t>
      </w:r>
    </w:p>
    <w:p>
      <w:pPr>
        <w:pStyle w:val="ListBullet"/>
      </w:pPr>
      <w:r>
        <w:t>KTagDevice.s3db is a real SQLite database. Its schema explicitly includes CVN and CLONE_ECU_ONLINE flags across multiple protocol-family tables.</w:t>
      </w:r>
    </w:p>
    <w:p>
      <w:r>
        <w:t xml:space="preserve">Catalog counts from KTagDevice.s3db: </w:t>
      </w:r>
      <w:r>
        <w:rPr>
          <w:b/>
        </w:rPr>
        <w:t>LOADER_BDM_MPC5XX=203, LOADER_BOOT_TRICORE=346, LOADER_JTAG_RENESAS=202, LOADER_BOOT_ST10FXXX=147.</w:t>
      </w:r>
    </w:p>
    <w:p>
      <w:r>
        <w:t xml:space="preserve">Notable flag counts: </w:t>
      </w:r>
      <w:r>
        <w:rPr>
          <w:b/>
        </w:rPr>
        <w:t>LOADER_BOOT_TRICORE has 51 rows with CLONE_ECU_ONLINE=1 and 3 rows with CVN=1; LOADER_BSM_TRICORE has 36 rows with CLONE_ECU_ONLINE=1.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F1FB"/>
          </w:tcPr>
          <w:p>
            <w:pPr>
              <w:spacing w:after="0" w:before="0"/>
            </w:pPr>
            <w:r/>
            <w:r>
              <w:rPr>
                <w:b/>
              </w:rPr>
              <w:t>Family table</w:t>
            </w:r>
          </w:p>
        </w:tc>
        <w:tc>
          <w:tcPr>
            <w:tcW w:type="dxa" w:w="2448"/>
            <w:vAlign w:val="center"/>
            <w:shd w:fill="E8F1FB"/>
          </w:tcPr>
          <w:p>
            <w:pPr>
              <w:spacing w:after="0" w:before="0"/>
            </w:pPr>
            <w:r/>
            <w:r>
              <w:rPr>
                <w:b/>
              </w:rPr>
              <w:t>Example entry</w:t>
            </w:r>
          </w:p>
        </w:tc>
        <w:tc>
          <w:tcPr>
            <w:tcW w:type="dxa" w:w="2448"/>
            <w:vAlign w:val="center"/>
            <w:shd w:fill="E8F1FB"/>
          </w:tcPr>
          <w:p>
            <w:pPr>
              <w:spacing w:after="0" w:before="0"/>
            </w:pPr>
            <w:r/>
            <w:r>
              <w:rPr>
                <w:b/>
              </w:rPr>
              <w:t>Release</w:t>
            </w:r>
          </w:p>
        </w:tc>
        <w:tc>
          <w:tcPr>
            <w:tcW w:type="dxa" w:w="2448"/>
            <w:vAlign w:val="center"/>
            <w:shd w:fill="E8F1FB"/>
          </w:tcPr>
          <w:p>
            <w:pPr>
              <w:spacing w:after="0" w:before="0"/>
            </w:pPr>
            <w:r/>
            <w:r>
              <w:rPr>
                <w:b/>
              </w:rPr>
              <w:t>Flags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LOADER_BOOT_TRICORE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BOSCH EDC17CP04 IROM TC1796 VAG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10000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CLONE_ECU_ONLINE=1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LOADER_BOOT_TRICORE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BOSCH MED17.5 IROM TC1766 VAG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10000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CLONE_ECU_ONLINE=1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LOADER_BSM_TRICORE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BOSCH EDC17CP10 IROM TC1796 MERCEDES TSM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43800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none set in sample row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LOADER_JTAG_RENESAS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VALEO V40 RENAULT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10000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CVN=0, CLONE_ECU_ONLINE=0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LOADER_BOOT_ST10FXXX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MARELLI IAW 5SFHWxxx FIAT/ALFA/LANCIA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10000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CVN=0, CLONE_ECU_ONLINE=0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LOADER_BDM_MPC5XX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BOSCH EDC16C8 FIAT/ALFA/LANCIA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10000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CVN=0, CLONE_ECU_ONLINE=0</w:t>
            </w:r>
          </w:p>
        </w:tc>
      </w:tr>
    </w:tbl>
    <w:p>
      <w:pPr>
        <w:pStyle w:val="Heading2"/>
      </w:pPr>
      <w:r>
        <w:t>RFH 24C32 VIN-adjacent 2-byte field</w:t>
      </w:r>
    </w:p>
    <w:p>
      <w:pPr>
        <w:pStyle w:val="ListBullet"/>
      </w:pPr>
      <w:r>
        <w:t>A repeated 19-byte record pattern is strongly supported in the uploaded RFH/RAM EEPROM files: 17-byte ASCII VIN followed immediately by 2 bytes, with a second VIN record beginning exactly 0x13 bytes later in many files.</w:t>
      </w:r>
    </w:p>
    <w:p>
      <w:pPr>
        <w:pStyle w:val="ListBullet"/>
      </w:pPr>
      <w:r>
        <w:t>Observed VIN record start clusters in the current set are 0x40, 0x92, 0x16A, and 0x1EA depending on file family/layout.</w:t>
      </w:r>
    </w:p>
    <w:p>
      <w:pPr>
        <w:pStyle w:val="ListBullet"/>
      </w:pPr>
      <w:r>
        <w:t>Representative VIN-tail pairs include 3C6UR5DL5JG402562 -&gt; 65 36, 3C7WRAKT8JG249045 -&gt; 7C 98, 3C6UR5FL7LG237033 -&gt; 2B 56, 3C6UR5CLXEG126483 -&gt; B7 01, and 3C6SRBDT4FG680947 -&gt; 79 37.</w:t>
      </w:r>
    </w:p>
    <w:p>
      <w:pPr>
        <w:pStyle w:val="ListBullet"/>
      </w:pPr>
      <w:r>
        <w:t>Negative tests already run did not fit standard CRC16/IBM, CRC16/CCITT-FALSE, CRC16/X25, CRC-HQX, Fletcher16, simple 16-bit additive sums, byte-oriented CRC8 families, or several common truncated string hashes and simple rolling recurrences.</w:t>
      </w:r>
    </w:p>
    <w:p>
      <w:pPr>
        <w:pStyle w:val="ListBullet"/>
      </w:pPr>
      <w:r>
        <w:t>Current best interpretation: the two VIN-adjacent bytes behave like a local integrity word tied to the record, but the current evidence does not prove a standard CRC family or a VIN-only checksum.</w:t>
      </w:r>
    </w:p>
    <w:p>
      <w:pPr>
        <w:pStyle w:val="Heading1"/>
      </w:pPr>
      <w:r>
        <w:t>UDS, CAN, and Module Commands</w:t>
      </w:r>
    </w:p>
    <w:p>
      <w:pPr>
        <w:pStyle w:val="Heading2"/>
      </w:pPr>
      <w:r>
        <w:t>FCA PROXI Tool: confirmed byte-level diagnostic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D3"/>
          </w:tcPr>
          <w:p>
            <w:pPr>
              <w:spacing w:after="0" w:before="0"/>
            </w:pPr>
            <w:r/>
            <w:r>
              <w:rPr>
                <w:b/>
              </w:rPr>
              <w:t>Purpose</w:t>
            </w:r>
          </w:p>
        </w:tc>
        <w:tc>
          <w:tcPr>
            <w:tcW w:type="dxa" w:w="2448"/>
            <w:vAlign w:val="center"/>
            <w:shd w:fill="D9EAD3"/>
          </w:tcPr>
          <w:p>
            <w:pPr>
              <w:spacing w:after="0" w:before="0"/>
            </w:pPr>
            <w:r/>
            <w:r>
              <w:rPr>
                <w:b/>
              </w:rPr>
              <w:t>Request bytes</w:t>
            </w:r>
          </w:p>
        </w:tc>
        <w:tc>
          <w:tcPr>
            <w:tcW w:type="dxa" w:w="2448"/>
            <w:vAlign w:val="center"/>
            <w:shd w:fill="D9EAD3"/>
          </w:tcPr>
          <w:p>
            <w:pPr>
              <w:spacing w:after="0" w:before="0"/>
            </w:pPr>
            <w:r/>
            <w:r>
              <w:rPr>
                <w:b/>
              </w:rPr>
              <w:t>Expected positive response</w:t>
            </w:r>
          </w:p>
        </w:tc>
        <w:tc>
          <w:tcPr>
            <w:tcW w:type="dxa" w:w="2448"/>
            <w:vAlign w:val="center"/>
            <w:shd w:fill="D9EAD3"/>
          </w:tcPr>
          <w:p>
            <w:pPr>
              <w:spacing w:after="0" w:before="0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 VIN from BCM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22 F1 90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62 F1 90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Target 0x40 on HS CAN; testers F2 then F1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Enter extended session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10 03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50 xx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Used before BCM read/write actions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 PROXI from BCM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22 20 23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62 20 23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 path retries once after 7F xx 78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Check write path via BCM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2E 20 23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6E 20 23 or 7F 2E xx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Negative response is still logged as gateway traffic observed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Write PROXI payload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2E 20 23 + data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6E 20 23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Applied across selected targets with bus-dependent routing</w:t>
            </w:r>
          </w:p>
        </w:tc>
      </w:tr>
    </w:tbl>
    <w:p>
      <w:pPr>
        <w:pStyle w:val="ListBullet"/>
      </w:pPr>
      <w:r>
        <w:t>29-bit CAN ID formula is explicitly implemented as tx = 0x18DA0000 | (target &lt;&lt; 8) | tester and rx = 0x18DA0000 | (tester &lt;&lt; 8) | target.</w:t>
      </w:r>
    </w:p>
    <w:p>
      <w:pPr>
        <w:pStyle w:val="ListBullet"/>
      </w:pPr>
      <w:r>
        <w:t>Confirmed target mapping in the PROXI payload: BCM=0x40, IPC=0x60, ETM=0x87, RADIO=0x87, RADIO_STACK=0x87, CTM=0x87.</w:t>
      </w:r>
    </w:p>
    <w:p>
      <w:pPr>
        <w:pStyle w:val="ListBullet"/>
      </w:pPr>
      <w:r>
        <w:t>Confirmed bus routing in the PROXI payload: BCM and IPC default to HS CAN; ETM, RADIO, RADIO_STACK, CTM, and AMP switch to MS CAN.</w:t>
      </w:r>
    </w:p>
    <w:p>
      <w:pPr>
        <w:pStyle w:val="ListBullet"/>
      </w:pPr>
      <w:r>
        <w:t>Confirmed tester bytes in the PROXI payload: 0xF2 primary, 0xF1 fallback on VIN and BCM operations.</w:t>
      </w:r>
    </w:p>
    <w:p>
      <w:pPr>
        <w:pStyle w:val="Heading1"/>
      </w:pPr>
      <w:r>
        <w:t>Transport Timing and Adapter Details</w:t>
      </w:r>
    </w:p>
    <w:p>
      <w:pPr>
        <w:pStyle w:val="ListBullet"/>
      </w:pPr>
      <w:r>
        <w:t>ELM serial timeouts seen in the PROXI Python payload: read timeout 0.2 s, write timeout 0.5 s.</w:t>
      </w:r>
    </w:p>
    <w:p>
      <w:pPr>
        <w:pStyle w:val="ListBullet"/>
      </w:pPr>
      <w:r>
        <w:t>ELM init timing in the same payload: 0.25 s pause after opening, 1.6 s for ATZ, and 1.0 s for most adapter setup commands.</w:t>
      </w:r>
    </w:p>
    <w:p>
      <w:pPr>
        <w:pStyle w:val="ListBullet"/>
      </w:pPr>
      <w:r>
        <w:t>UDS request timeouts in the PROXI payload: VIN read 2.5 s, session control 2.0 s, BCM PROXI read 8.0 s, PROXI write 6.0 s.</w:t>
      </w:r>
    </w:p>
    <w:p>
      <w:pPr>
        <w:pStyle w:val="ListBullet"/>
      </w:pPr>
      <w:r>
        <w:t>Response pending handling is explicit: if the read path sees 7F xx 78, it logs the state, waits 1.5 s, then retries the 22 20 23 request once.</w:t>
      </w:r>
    </w:p>
    <w:p>
      <w:pPr>
        <w:pStyle w:val="ListBullet"/>
      </w:pPr>
      <w:r>
        <w:t>J2534 polling evidence in the PROXI package includes 50 ms read-loop timing and CAN bitrates 500000 for HS-CAN and 125000 for MS-CAN.</w:t>
      </w:r>
    </w:p>
    <w:p>
      <w:pPr>
        <w:pStyle w:val="ListBullet"/>
      </w:pPr>
      <w:r>
        <w:t>Confirmed ELM command set in the PROXI package includes ATZ, ATE0, ATL0, ATS1, ATH1, ATCAF1, ATCFC1, ATAL, ATAT1, ATSP6, ATSP7, ATSPB, STP 33, STP 53, ATSH, and ATCRA.</w:t>
      </w:r>
    </w:p>
    <w:p>
      <w:pPr>
        <w:pStyle w:val="ListBullet"/>
      </w:pPr>
      <w:r>
        <w:t>AlfaOBD strings further confirm configurable set_Timeout, set_ReadTimeout, set_WriteTimeout, set_ReadWriteTimeout, set_DefaultRxTimeout, set_BaudRate / set_Baudrate, and TimeoutException handling.</w:t>
      </w:r>
    </w:p>
    <w:p>
      <w:pPr>
        <w:pStyle w:val="Heading1"/>
      </w:pPr>
      <w:r>
        <w:t>Module and ECU Family Clues</w:t>
      </w:r>
    </w:p>
    <w:p>
      <w:pPr>
        <w:pStyle w:val="Heading2"/>
      </w:pPr>
      <w:r>
        <w:t>AlfaOBD</w:t>
      </w:r>
    </w:p>
    <w:p>
      <w:pPr>
        <w:pStyle w:val="ListBullet"/>
      </w:pPr>
      <w:r>
        <w:t>Strong transport stack evidence: SAE.J2534, J2534-Sharp, SerialPort, Stn.Ftdi / FtdiStream, BluetoothClient, BluetoothSecurity, System.Data.SQLite, HttpWebRequest / HttpWebResponse.</w:t>
      </w:r>
    </w:p>
    <w:p>
      <w:pPr>
        <w:pStyle w:val="ListBullet"/>
      </w:pPr>
      <w:r>
        <w:t>Confirmed diagnostic-flow identifiers: ReadObd, SendActiveDiagnostic2, SendActiveDiagnostic3, SendActiveDiagnosticStop, ProcessECUData, CheckResult, ReceiveResult.</w:t>
      </w:r>
    </w:p>
    <w:p>
      <w:pPr>
        <w:pStyle w:val="ListBullet"/>
      </w:pPr>
      <w:r>
        <w:t>Confirmed FCA/Stellantis module-family clues include ProcessBody_ChryslerData, ProcessTIGERSHARK_CUSWData, ProcessCCNData, ECUTYPE_BODY_CHRYSLER, ECUTYPE_BCMAR3, ECUTYPE_RFH_CUSW, ECUTYPE_RFH_PN, ECUTYPE_RADIO_CUSW, ECUTYPE_CCN, ECUTYPE_BCAN, ECUTYPE_CCAN, and ECUTYPE_KWP2000.</w:t>
      </w:r>
    </w:p>
    <w:p>
      <w:pPr>
        <w:pStyle w:val="ListBullet"/>
      </w:pPr>
      <w:r>
        <w:t>Additional body/comfort and electrified-family names observed include ECUTYPE_OBCM, ECUTYPE_BPCM, ECUTYPE_DDM_CUSW, ECUTYPE_PDM_CUSW, ECUTYPE_AHLM_CUSW, ECUTYPE_CONVERGENCE_CUSW, ECUTYPE_SCCM_CUSW, ECUTYPE_ADAPTIVE_CRUISE_CUSW, and ECUTYPE_PTU_CUSW.</w:t>
      </w:r>
    </w:p>
    <w:p>
      <w:pPr>
        <w:pStyle w:val="Heading2"/>
      </w:pPr>
      <w:r>
        <w:t>FTAG</w:t>
      </w:r>
    </w:p>
    <w:p>
      <w:pPr>
        <w:pStyle w:val="ListBullet"/>
      </w:pPr>
      <w:r>
        <w:t>The archive structure and UI assets confirm functional groupings such as BOOT, ECM, TCM, PATCH, TRICORE_SERVICE, and clone-related UI elements.</w:t>
      </w:r>
    </w:p>
    <w:p>
      <w:pPr>
        <w:pStyle w:val="ListBullet"/>
      </w:pPr>
      <w:r>
        <w:t>CPU / MCU family labels exposed in the bundle include INFINEON_TRICORE-ST, MOTOROLA_68000HC, MOTOROLA_HC12, MOTOROLA_MPC56, MOTOROLA_MPC5xx, MOTOROLA_NEXUS_MPC5xxx, RENESAS_M32, RENESAS_SH705xx, NDB_NEC, and MITSUBISHI_MHxxx.</w:t>
      </w:r>
    </w:p>
    <w:p>
      <w:pPr>
        <w:pStyle w:val="ListBullet"/>
      </w:pPr>
      <w:r>
        <w:t>KTagDevice.s3db gives real catalog rows for Bosch EDC16, EDC17, MED17, Marelli IAW families, Siemens/Continental, Valeo, Delphi, Denso, and other vendor groupings.</w:t>
      </w:r>
    </w:p>
    <w:p>
      <w:pPr>
        <w:pStyle w:val="Heading1"/>
      </w:pPr>
      <w:r>
        <w:t>License, Crypto, and Protection Artifacts</w:t>
      </w:r>
    </w:p>
    <w:p>
      <w:pPr>
        <w:pStyle w:val="ListBullet"/>
      </w:pPr>
      <w:r>
        <w:t>FCA PROXI Tool license pathing is explicit: device seed file device_seed.dpapi and local license.json under %APPDATA%\FCA PROXI Tool.</w:t>
      </w:r>
    </w:p>
    <w:p>
      <w:pPr>
        <w:pStyle w:val="ListBullet"/>
      </w:pPr>
      <w:r>
        <w:t>Confirmed request-code algorithm in the PROXI payload: SHA-256 over a 32-byte DPAPI-protected device seed, uppercase hex digest, then truncate to the first 40 characters.</w:t>
      </w:r>
    </w:p>
    <w:p>
      <w:pPr>
        <w:pStyle w:val="ListBullet"/>
      </w:pPr>
      <w:r>
        <w:t>Confirmed license-verification behavior in the same payload: canonical JSON with sorted keys and compact separators, then RSA-PSS signature verification with MGF1(SHA-256) and SHA-256. Required fields are v, product, request, edition, features, and sig.</w:t>
      </w:r>
    </w:p>
    <w:p>
      <w:pPr>
        <w:pStyle w:val="ListBullet"/>
      </w:pPr>
      <w:r>
        <w:t>Confirmed asset decryption behavior in the same payload: derive a 32-byte key with HKDF-SHA256 using the SHA-256 digest of the vendor public-key DER as input key material, ASSET_SALT_B64 as salt, and literal info string ASSET-KEY-v1; decrypt with AES-GCM using the asset path as associated data.</w:t>
      </w:r>
    </w:p>
    <w:p>
      <w:pPr>
        <w:pStyle w:val="ListBullet"/>
      </w:pPr>
      <w:r>
        <w:t>The bundled PROXI package license.json is plainly not a normal signed license object; its fields are all filled with the marker chichitoworkshop, and the README contains a hardware-ID-like string plus a long key string.</w:t>
      </w:r>
    </w:p>
    <w:p>
      <w:pPr>
        <w:pStyle w:val="ListBullet"/>
      </w:pPr>
      <w:r>
        <w:t>shfolder.dll is heavily protected and fingerprinted as Safengine Shielden v2.3.9.0, with many visible SE* license APIs such as SECheckLicenseFileW, SEGetLicenseHash, SEGetLicenseTrialInfo, and SENotifyLicenseBanned.</w:t>
      </w:r>
    </w:p>
    <w:p>
      <w:pPr>
        <w:pStyle w:val="ListBullet"/>
      </w:pPr>
      <w:r>
        <w:t>ECU-VILLAIN bundles a full Cryptodome stack including raw AES, AES-NI, CBC/CFB/CTR/ECB/OFB/OCB, Salsa20, MD5, SHA1/224/256/384/512, BLAKE2s, keccak, ghash, scrypt, and strxor helpers.</w:t>
      </w:r>
    </w:p>
    <w:p>
      <w:pPr>
        <w:pStyle w:val="ListBullet"/>
      </w:pPr>
      <w:r>
        <w:t>AlfaOBD strings point to LicenseWindowConfig, ShowLicenseActivationWindowForProduct, get_LicenseCode, get_ActivationEmail, TripleDESCryptoServiceProvider, CryptoStream, and CreateDecryptor.</w:t>
      </w:r>
    </w:p>
    <w:p>
      <w:pPr>
        <w:pStyle w:val="Heading1"/>
      </w:pPr>
      <w:r>
        <w:t>Protected or Packed Artifacts</w:t>
      </w:r>
    </w:p>
    <w:p>
      <w:pPr>
        <w:pStyle w:val="ListBullet"/>
      </w:pPr>
      <w:r>
        <w:t>AEMT is a PE32 GUI executable with a Python 3.10 dependency, minimal imports (mainly KERNEL32 plus PyFloat_FromString from PYTHON310.dll), a tiny .text section, a very large .rdata region, and a resource directory that objdump reports as corrupt. The two uploaded AEMT copies are byte-identical.</w:t>
      </w:r>
    </w:p>
    <w:p>
      <w:pPr>
        <w:pStyle w:val="ListBullet"/>
      </w:pPr>
      <w:r>
        <w:t>The AEMT string layer yields only weak but relevant clues such as VIN, RFH, KEY, UDS, IPC, ETM, and CRC fragments; the payload appears protected enough that stable algorithm extraction did not occur in this pass.</w:t>
      </w:r>
    </w:p>
    <w:p>
      <w:pPr>
        <w:pStyle w:val="ListBullet"/>
      </w:pPr>
      <w:r>
        <w:t>ECU-VILLAIN is packaged as a Python/Qt desktop app. The patched executable differs materially from the protected build and adds a large .patch section, which strongly indicates post-build patching rather than a clean original release artifact.</w:t>
      </w:r>
    </w:p>
    <w:p>
      <w:pPr>
        <w:pStyle w:val="ListBullet"/>
      </w:pPr>
      <w:r>
        <w:t>VehicleList.s3db in FTAG is not a readable SQLite database in this environment. Its header and strings look like high-entropy packed data rather than plain catalog text.</w:t>
      </w:r>
    </w:p>
    <w:p>
      <w:pPr>
        <w:pStyle w:val="Heading1"/>
      </w:pPr>
      <w:r>
        <w:t>Confirmed Install Paths from Shortcuts</w:t>
      </w:r>
    </w:p>
    <w:p>
      <w:pPr>
        <w:pStyle w:val="ListBullet"/>
      </w:pPr>
      <w:r>
        <w:t>C:\PROXI TOOL CRACK OBD2\FCA PROXI Tool.exe</w:t>
      </w:r>
    </w:p>
    <w:p>
      <w:pPr>
        <w:pStyle w:val="ListBullet"/>
      </w:pPr>
      <w:r>
        <w:t>C:\FTAG\F_Loader_se.exe with icon path C:\FTAG\F.exe</w:t>
      </w:r>
    </w:p>
    <w:p>
      <w:pPr>
        <w:pStyle w:val="ListBullet"/>
      </w:pPr>
      <w:r>
        <w:t>C:\AEMT-MAXX\aemt.exe</w:t>
      </w:r>
    </w:p>
    <w:p>
      <w:pPr>
        <w:pStyle w:val="ListBullet"/>
      </w:pPr>
      <w:r>
        <w:t>C:\ECU-VILLAIN\VILLAIN_protected_patched.exe</w:t>
      </w:r>
    </w:p>
    <w:p>
      <w:pPr>
        <w:pStyle w:val="ListBullet"/>
      </w:pPr>
      <w:r>
        <w:t>C:\APNT\APNT.exe</w:t>
      </w:r>
    </w:p>
    <w:p>
      <w:pPr>
        <w:pStyle w:val="ListBullet"/>
      </w:pPr>
      <w:r>
        <w:t>C:\RadioCodeDatabase\RadioCodeDatabase_se.exe</w:t>
      </w:r>
    </w:p>
    <w:p>
      <w:pPr>
        <w:pStyle w:val="ListBullet"/>
      </w:pPr>
      <w:r>
        <w:t>C:\Users\gomez\AppData\Local\Programs\gpec2-unlocker\gpec2-unlocker.exe</w:t>
      </w:r>
    </w:p>
    <w:p>
      <w:pPr>
        <w:pStyle w:val="ListBullet"/>
      </w:pPr>
      <w:r>
        <w:t>C:\GPEC GPEC2A UNLOCKER BYPASS\GPEC Unlocker.exe</w:t>
      </w:r>
    </w:p>
    <w:p>
      <w:pPr>
        <w:pStyle w:val="Heading1"/>
      </w:pPr>
      <w:r>
        <w:t>Confidence Notes and Open Gaps</w:t>
      </w:r>
    </w:p>
    <w:p>
      <w:pPr>
        <w:pStyle w:val="ListBullet"/>
      </w:pPr>
      <w:r>
        <w:t>Highest-confidence algorithm evidence in this pass: PROXI request-code generation, PROXI license verification flow, PROXI asset-key derivation/decryption flow, and PROXI UDS/CAN command constants.</w:t>
      </w:r>
    </w:p>
    <w:p>
      <w:pPr>
        <w:pStyle w:val="ListBullet"/>
      </w:pPr>
      <w:r>
        <w:t>Highest-confidence checksum/CVN research leads: FTAG KTagFamTable checksum/CVN function names and KTagDevice schema flags, plus the RFH VIN-adjacent 2-byte integrity-word pattern and its current negative tests.</w:t>
      </w:r>
    </w:p>
    <w:p>
      <w:pPr>
        <w:pStyle w:val="ListBullet"/>
      </w:pPr>
      <w:r>
        <w:t>Lower-confidence areas: AEMT diagnostic meaning, ECU-VILLAIN internal logic beyond packaging/crypto stack, and exact formulas behind FTAG checksum handlers without deeper disassembly or controlled test binaries.</w:t>
      </w:r>
    </w:p>
    <w:p>
      <w:pPr>
        <w:pStyle w:val="ListBullet"/>
      </w:pPr>
      <w:r>
        <w:t>Most useful next artifacts for deeper research later: decompiler output for KTagFamTable.dll checksum routines, strings/disassembly from AEMT after unpacking, and controlled before/after RFH BIN edit sets that change only one VIN character or one local record field.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Automotive Tool Research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7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