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72badaae35d438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187" w:rsidRDefault="00F45187" w:rsidP="00F45187">
      <w:pPr>
        <w:jc w:val="center"/>
        <w:rPr>
          <w:b/>
        </w:rPr>
      </w:pPr>
    </w:p>
    <w:p w:rsidR="00AF22A0" w:rsidRPr="00F45187" w:rsidRDefault="00EF64FC" w:rsidP="00F45187">
      <w:pPr>
        <w:jc w:val="center"/>
        <w:rPr>
          <w:b/>
        </w:rPr>
      </w:pPr>
      <w:r w:rsidRPr="00F45187">
        <w:rPr>
          <w:b/>
        </w:rPr>
        <w:t>Med City Target</w:t>
      </w:r>
      <w:r w:rsidR="00F45187">
        <w:rPr>
          <w:b/>
        </w:rPr>
        <w:t xml:space="preserve"> A</w:t>
      </w:r>
      <w:r w:rsidR="00F61017" w:rsidRPr="00F45187">
        <w:rPr>
          <w:b/>
        </w:rPr>
        <w:t>nalysis</w:t>
      </w:r>
    </w:p>
    <w:p w:rsidR="00B47254" w:rsidRDefault="00B47254" w:rsidP="00B47254">
      <w:pPr>
        <w:jc w:val="center"/>
        <w:rPr>
          <w:b/>
        </w:rPr>
      </w:pPr>
    </w:p>
    <w:p w:rsidR="00CF6796" w:rsidRDefault="00CF6796" w:rsidP="00B47254">
      <w:pPr>
        <w:rPr>
          <w:b/>
          <w:sz w:val="22"/>
          <w:szCs w:val="22"/>
        </w:rPr>
      </w:pPr>
    </w:p>
    <w:p w:rsidR="00912410" w:rsidRPr="00EF64FC" w:rsidRDefault="00912410" w:rsidP="00B47254">
      <w:pPr>
        <w:rPr>
          <w:b/>
          <w:sz w:val="22"/>
          <w:szCs w:val="22"/>
        </w:rPr>
      </w:pPr>
      <w:r w:rsidRPr="00EF64FC">
        <w:rPr>
          <w:b/>
          <w:sz w:val="22"/>
          <w:szCs w:val="22"/>
        </w:rPr>
        <w:t>Background</w:t>
      </w:r>
      <w:r w:rsidR="00B47254" w:rsidRPr="00EF64FC">
        <w:rPr>
          <w:b/>
          <w:sz w:val="22"/>
          <w:szCs w:val="22"/>
        </w:rPr>
        <w:t xml:space="preserve">  </w:t>
      </w:r>
    </w:p>
    <w:p w:rsidR="00912410" w:rsidRDefault="00912410" w:rsidP="00B47254">
      <w:pPr>
        <w:rPr>
          <w:sz w:val="22"/>
          <w:szCs w:val="22"/>
        </w:rPr>
      </w:pPr>
    </w:p>
    <w:p w:rsidR="00B47254" w:rsidRPr="009F3015" w:rsidRDefault="00E001A3" w:rsidP="00CF6796">
      <w:bookmarkStart w:id="0" w:name="_GoBack"/>
      <w:bookmarkEnd w:id="0"/>
      <w:r w:rsidRPr="009F3015">
        <w:t>A</w:t>
      </w:r>
      <w:r w:rsidR="00CF6796" w:rsidRPr="009F3015">
        <w:t xml:space="preserve">nalysis </w:t>
      </w:r>
      <w:r w:rsidRPr="009F3015">
        <w:t xml:space="preserve">by PA Consulting Group </w:t>
      </w:r>
      <w:r w:rsidR="00CF6796" w:rsidRPr="009F3015">
        <w:t xml:space="preserve">makes clear </w:t>
      </w:r>
      <w:r w:rsidR="00B47254" w:rsidRPr="009F3015">
        <w:t xml:space="preserve">that the </w:t>
      </w:r>
      <w:proofErr w:type="spellStart"/>
      <w:r w:rsidR="00B47254" w:rsidRPr="009F3015">
        <w:t>GVA</w:t>
      </w:r>
      <w:proofErr w:type="spellEnd"/>
      <w:r w:rsidR="00B47254" w:rsidRPr="009F3015">
        <w:t xml:space="preserve"> of life science research and the number of jobs delivered are alternative approaches to assessing the value of outputs and outcomes</w:t>
      </w:r>
      <w:r w:rsidR="00CF6796" w:rsidRPr="009F3015">
        <w:t>.</w:t>
      </w:r>
    </w:p>
    <w:p w:rsidR="00E001A3" w:rsidRPr="009F3015" w:rsidRDefault="00E001A3" w:rsidP="00CF6796"/>
    <w:p w:rsidR="009A5426" w:rsidRPr="009F3015" w:rsidRDefault="00B47254" w:rsidP="00B47254">
      <w:r w:rsidRPr="009F3015">
        <w:t xml:space="preserve">In order to develop a target for jobs or for GVA, it would therefore be sensible to decide which of these </w:t>
      </w:r>
      <w:proofErr w:type="gramStart"/>
      <w:r w:rsidRPr="009F3015">
        <w:t>is the preferred “final” outcome</w:t>
      </w:r>
      <w:proofErr w:type="gramEnd"/>
      <w:r w:rsidRPr="009F3015">
        <w:t xml:space="preserve">. Either is in principle fine, but GLA Economics analysis is nearing completion on the GVA per job based on assessment of the ONS data </w:t>
      </w:r>
      <w:r w:rsidR="00E001A3">
        <w:t>(</w:t>
      </w:r>
      <w:r w:rsidRPr="009F3015">
        <w:t>at SIC two digit level</w:t>
      </w:r>
      <w:r w:rsidR="00E001A3">
        <w:t>)</w:t>
      </w:r>
      <w:r w:rsidRPr="009F3015">
        <w:t>. In terms of con</w:t>
      </w:r>
      <w:r w:rsidR="009A5426" w:rsidRPr="009F3015">
        <w:t xml:space="preserve">sistency with Cost Benefit Analysis for </w:t>
      </w:r>
      <w:r w:rsidR="00EE0EED">
        <w:t xml:space="preserve">the GLA’s own </w:t>
      </w:r>
      <w:r w:rsidR="009A5426" w:rsidRPr="009F3015">
        <w:t>I</w:t>
      </w:r>
      <w:r w:rsidR="00EE0EED">
        <w:t xml:space="preserve">nvestment and </w:t>
      </w:r>
      <w:r w:rsidR="009A5426" w:rsidRPr="009F3015">
        <w:t>P</w:t>
      </w:r>
      <w:r w:rsidR="00EE0EED">
        <w:t xml:space="preserve">erformance </w:t>
      </w:r>
      <w:r w:rsidR="009A5426" w:rsidRPr="009F3015">
        <w:t>B</w:t>
      </w:r>
      <w:r w:rsidR="00EE0EED">
        <w:t>oard</w:t>
      </w:r>
      <w:r w:rsidR="009A5426" w:rsidRPr="009F3015">
        <w:t>, benefits are better assessed via the GVA figure.</w:t>
      </w:r>
    </w:p>
    <w:p w:rsidR="00E001A3" w:rsidRPr="009F3015" w:rsidRDefault="009A5426" w:rsidP="00B47254">
      <w:r w:rsidRPr="009F3015">
        <w:t xml:space="preserve">  </w:t>
      </w:r>
    </w:p>
    <w:p w:rsidR="009A5426" w:rsidRDefault="009A5426" w:rsidP="00B47254">
      <w:r w:rsidRPr="009F3015">
        <w:t>A further issue concerns the extent to which aspirations for jobs reflect significant job</w:t>
      </w:r>
      <w:r w:rsidRPr="009F3015">
        <w:rPr>
          <w:b/>
        </w:rPr>
        <w:t xml:space="preserve"> retention</w:t>
      </w:r>
      <w:r w:rsidRPr="009F3015">
        <w:t xml:space="preserve">. More generally, there is a problem in estimating (both ex ante and ex post) the extent of </w:t>
      </w:r>
      <w:r w:rsidRPr="009F3015">
        <w:rPr>
          <w:b/>
        </w:rPr>
        <w:t xml:space="preserve">genuine additionality. </w:t>
      </w:r>
      <w:r w:rsidRPr="009F3015">
        <w:t xml:space="preserve">This applies particularly to the </w:t>
      </w:r>
      <w:r w:rsidRPr="009F3015">
        <w:rPr>
          <w:b/>
        </w:rPr>
        <w:t>indirect jobs</w:t>
      </w:r>
      <w:r w:rsidRPr="009F3015">
        <w:t xml:space="preserve"> identified as deriving from </w:t>
      </w:r>
      <w:r w:rsidR="00E001A3">
        <w:t>activity</w:t>
      </w:r>
      <w:r w:rsidR="00D64A64" w:rsidRPr="009F3015">
        <w:t>.</w:t>
      </w:r>
    </w:p>
    <w:p w:rsidR="00E001A3" w:rsidRPr="009F3015" w:rsidRDefault="00E001A3" w:rsidP="00B47254"/>
    <w:p w:rsidR="00D64A64" w:rsidRPr="009F3015" w:rsidRDefault="00D64A64" w:rsidP="00B47254">
      <w:r w:rsidRPr="009F3015">
        <w:t>Whilst the impact on London is an important focus for analysis, Treasury Green Book guidance is very clear that the most important type of assessment is of costs and benefits for “UK plc”. Hence a most important issue and assumption is that of true additionality: a job retained in London is a job potentially denied to (say) Teesside.</w:t>
      </w:r>
    </w:p>
    <w:p w:rsidR="00912410" w:rsidRPr="009F3015" w:rsidRDefault="00912410" w:rsidP="00B47254"/>
    <w:p w:rsidR="00912410" w:rsidRPr="009F3015" w:rsidRDefault="00912410" w:rsidP="00B47254">
      <w:r w:rsidRPr="009F3015">
        <w:t>Some illustrative calculations</w:t>
      </w:r>
    </w:p>
    <w:p w:rsidR="00912410" w:rsidRPr="009F3015" w:rsidRDefault="00912410" w:rsidP="00B47254"/>
    <w:tbl>
      <w:tblPr>
        <w:tblStyle w:val="TableGrid"/>
        <w:tblW w:w="0" w:type="auto"/>
        <w:tblLook w:val="04A0" w:firstRow="1" w:lastRow="0" w:firstColumn="1" w:lastColumn="0" w:noHBand="0" w:noVBand="1"/>
      </w:tblPr>
      <w:tblGrid>
        <w:gridCol w:w="1951"/>
        <w:gridCol w:w="1276"/>
        <w:gridCol w:w="1276"/>
        <w:gridCol w:w="1275"/>
        <w:gridCol w:w="1134"/>
        <w:gridCol w:w="1153"/>
        <w:gridCol w:w="1177"/>
      </w:tblGrid>
      <w:tr w:rsidR="00E438B7" w:rsidRPr="00E001A3" w:rsidTr="00CF6796">
        <w:tc>
          <w:tcPr>
            <w:tcW w:w="1951" w:type="dxa"/>
          </w:tcPr>
          <w:p w:rsidR="00E438B7" w:rsidRPr="009F3015" w:rsidRDefault="00E438B7" w:rsidP="00912410">
            <w:pPr>
              <w:jc w:val="center"/>
            </w:pPr>
          </w:p>
        </w:tc>
        <w:tc>
          <w:tcPr>
            <w:tcW w:w="1276" w:type="dxa"/>
          </w:tcPr>
          <w:p w:rsidR="00E438B7" w:rsidRPr="009F3015" w:rsidRDefault="00E438B7" w:rsidP="00912410">
            <w:pPr>
              <w:jc w:val="center"/>
              <w:rPr>
                <w:b/>
              </w:rPr>
            </w:pPr>
            <w:r w:rsidRPr="009F3015">
              <w:rPr>
                <w:b/>
              </w:rPr>
              <w:t>2015-16</w:t>
            </w:r>
          </w:p>
        </w:tc>
        <w:tc>
          <w:tcPr>
            <w:tcW w:w="1276" w:type="dxa"/>
          </w:tcPr>
          <w:p w:rsidR="00E438B7" w:rsidRPr="009F3015" w:rsidRDefault="00E438B7" w:rsidP="00912410">
            <w:pPr>
              <w:jc w:val="center"/>
              <w:rPr>
                <w:b/>
              </w:rPr>
            </w:pPr>
            <w:r w:rsidRPr="009F3015">
              <w:rPr>
                <w:b/>
              </w:rPr>
              <w:t>2016-17</w:t>
            </w:r>
          </w:p>
        </w:tc>
        <w:tc>
          <w:tcPr>
            <w:tcW w:w="1275" w:type="dxa"/>
          </w:tcPr>
          <w:p w:rsidR="00E438B7" w:rsidRPr="009F3015" w:rsidRDefault="00E438B7" w:rsidP="00912410">
            <w:pPr>
              <w:jc w:val="center"/>
              <w:rPr>
                <w:b/>
              </w:rPr>
            </w:pPr>
            <w:r w:rsidRPr="009F3015">
              <w:rPr>
                <w:b/>
              </w:rPr>
              <w:t>2017-18</w:t>
            </w:r>
          </w:p>
        </w:tc>
        <w:tc>
          <w:tcPr>
            <w:tcW w:w="1134" w:type="dxa"/>
          </w:tcPr>
          <w:p w:rsidR="00E438B7" w:rsidRPr="009F3015" w:rsidRDefault="00E438B7" w:rsidP="00912410">
            <w:pPr>
              <w:jc w:val="center"/>
              <w:rPr>
                <w:b/>
              </w:rPr>
            </w:pPr>
            <w:r w:rsidRPr="009F3015">
              <w:rPr>
                <w:b/>
              </w:rPr>
              <w:t>2018-19</w:t>
            </w:r>
          </w:p>
        </w:tc>
        <w:tc>
          <w:tcPr>
            <w:tcW w:w="1153" w:type="dxa"/>
          </w:tcPr>
          <w:p w:rsidR="00E438B7" w:rsidRPr="009F3015" w:rsidRDefault="00E438B7" w:rsidP="00912410">
            <w:pPr>
              <w:jc w:val="center"/>
              <w:rPr>
                <w:b/>
              </w:rPr>
            </w:pPr>
            <w:r w:rsidRPr="009F3015">
              <w:rPr>
                <w:b/>
              </w:rPr>
              <w:t>2019-20</w:t>
            </w:r>
          </w:p>
        </w:tc>
        <w:tc>
          <w:tcPr>
            <w:tcW w:w="1177" w:type="dxa"/>
          </w:tcPr>
          <w:p w:rsidR="00E438B7" w:rsidRPr="009F3015" w:rsidRDefault="00E438B7" w:rsidP="00912410">
            <w:pPr>
              <w:jc w:val="center"/>
            </w:pPr>
          </w:p>
        </w:tc>
      </w:tr>
      <w:tr w:rsidR="00E438B7" w:rsidRPr="00E001A3" w:rsidTr="00CF6796">
        <w:tc>
          <w:tcPr>
            <w:tcW w:w="1951" w:type="dxa"/>
          </w:tcPr>
          <w:p w:rsidR="00E438B7" w:rsidRPr="009F3015" w:rsidRDefault="00E438B7" w:rsidP="00912410">
            <w:pPr>
              <w:jc w:val="center"/>
              <w:rPr>
                <w:b/>
              </w:rPr>
            </w:pPr>
            <w:r w:rsidRPr="009F3015">
              <w:rPr>
                <w:b/>
              </w:rPr>
              <w:t>Direct Jobs</w:t>
            </w:r>
            <w:r w:rsidRPr="009F3015">
              <w:rPr>
                <w:b/>
                <w:vertAlign w:val="superscript"/>
              </w:rPr>
              <w:t>1,2</w:t>
            </w:r>
          </w:p>
        </w:tc>
        <w:tc>
          <w:tcPr>
            <w:tcW w:w="1276" w:type="dxa"/>
          </w:tcPr>
          <w:p w:rsidR="00E438B7" w:rsidRPr="009F3015" w:rsidRDefault="00E438B7" w:rsidP="00912410">
            <w:pPr>
              <w:jc w:val="center"/>
            </w:pPr>
            <w:r w:rsidRPr="009F3015">
              <w:t>25</w:t>
            </w:r>
          </w:p>
        </w:tc>
        <w:tc>
          <w:tcPr>
            <w:tcW w:w="1276" w:type="dxa"/>
          </w:tcPr>
          <w:p w:rsidR="00E438B7" w:rsidRPr="009F3015" w:rsidRDefault="00E438B7" w:rsidP="00912410">
            <w:pPr>
              <w:jc w:val="center"/>
            </w:pPr>
            <w:r w:rsidRPr="009F3015">
              <w:t>50</w:t>
            </w:r>
          </w:p>
        </w:tc>
        <w:tc>
          <w:tcPr>
            <w:tcW w:w="1275" w:type="dxa"/>
          </w:tcPr>
          <w:p w:rsidR="00E438B7" w:rsidRPr="009F3015" w:rsidRDefault="00E438B7" w:rsidP="00912410">
            <w:pPr>
              <w:jc w:val="center"/>
            </w:pPr>
            <w:r w:rsidRPr="009F3015">
              <w:t>100</w:t>
            </w:r>
          </w:p>
        </w:tc>
        <w:tc>
          <w:tcPr>
            <w:tcW w:w="1134" w:type="dxa"/>
          </w:tcPr>
          <w:p w:rsidR="00E438B7" w:rsidRPr="009F3015" w:rsidRDefault="00E438B7" w:rsidP="00912410">
            <w:pPr>
              <w:jc w:val="center"/>
            </w:pPr>
            <w:r w:rsidRPr="009F3015">
              <w:t>100</w:t>
            </w:r>
          </w:p>
        </w:tc>
        <w:tc>
          <w:tcPr>
            <w:tcW w:w="1153" w:type="dxa"/>
          </w:tcPr>
          <w:p w:rsidR="00E438B7" w:rsidRPr="009F3015" w:rsidRDefault="00E438B7" w:rsidP="00912410">
            <w:pPr>
              <w:jc w:val="center"/>
            </w:pPr>
            <w:r w:rsidRPr="009F3015">
              <w:t>100</w:t>
            </w:r>
          </w:p>
        </w:tc>
        <w:tc>
          <w:tcPr>
            <w:tcW w:w="1177" w:type="dxa"/>
          </w:tcPr>
          <w:p w:rsidR="00E438B7" w:rsidRPr="009F3015" w:rsidRDefault="00E438B7" w:rsidP="00912410">
            <w:pPr>
              <w:jc w:val="center"/>
            </w:pPr>
            <w:r w:rsidRPr="009F3015">
              <w:t>375</w:t>
            </w:r>
          </w:p>
        </w:tc>
      </w:tr>
      <w:tr w:rsidR="00E438B7" w:rsidRPr="00E001A3" w:rsidTr="00CF6796">
        <w:tc>
          <w:tcPr>
            <w:tcW w:w="1951" w:type="dxa"/>
          </w:tcPr>
          <w:p w:rsidR="00E438B7" w:rsidRPr="009F3015" w:rsidRDefault="00E438B7" w:rsidP="00912410">
            <w:pPr>
              <w:jc w:val="center"/>
              <w:rPr>
                <w:b/>
              </w:rPr>
            </w:pPr>
            <w:r w:rsidRPr="009F3015">
              <w:rPr>
                <w:b/>
              </w:rPr>
              <w:t>Disc</w:t>
            </w:r>
            <w:r w:rsidR="00E001A3">
              <w:rPr>
                <w:b/>
              </w:rPr>
              <w:t>ount</w:t>
            </w:r>
            <w:r w:rsidRPr="009F3015">
              <w:rPr>
                <w:b/>
              </w:rPr>
              <w:t xml:space="preserve"> Factor</w:t>
            </w:r>
          </w:p>
        </w:tc>
        <w:tc>
          <w:tcPr>
            <w:tcW w:w="1276" w:type="dxa"/>
          </w:tcPr>
          <w:p w:rsidR="00E438B7" w:rsidRPr="009F3015" w:rsidRDefault="00E438B7" w:rsidP="00912410">
            <w:pPr>
              <w:jc w:val="center"/>
            </w:pPr>
            <w:r w:rsidRPr="009F3015">
              <w:t>0.9662</w:t>
            </w:r>
          </w:p>
        </w:tc>
        <w:tc>
          <w:tcPr>
            <w:tcW w:w="1276" w:type="dxa"/>
          </w:tcPr>
          <w:p w:rsidR="00E438B7" w:rsidRPr="009F3015" w:rsidRDefault="00E438B7" w:rsidP="00912410">
            <w:pPr>
              <w:jc w:val="center"/>
            </w:pPr>
            <w:r w:rsidRPr="009F3015">
              <w:t>0.9335</w:t>
            </w:r>
          </w:p>
        </w:tc>
        <w:tc>
          <w:tcPr>
            <w:tcW w:w="1275" w:type="dxa"/>
          </w:tcPr>
          <w:p w:rsidR="00E438B7" w:rsidRPr="009F3015" w:rsidRDefault="00E438B7" w:rsidP="00912410">
            <w:pPr>
              <w:jc w:val="center"/>
            </w:pPr>
            <w:r w:rsidRPr="009F3015">
              <w:t>0.9019</w:t>
            </w:r>
          </w:p>
        </w:tc>
        <w:tc>
          <w:tcPr>
            <w:tcW w:w="1134" w:type="dxa"/>
          </w:tcPr>
          <w:p w:rsidR="00E438B7" w:rsidRPr="009F3015" w:rsidRDefault="00E438B7" w:rsidP="00912410">
            <w:pPr>
              <w:jc w:val="center"/>
            </w:pPr>
            <w:r w:rsidRPr="009F3015">
              <w:t>0.8714</w:t>
            </w:r>
          </w:p>
        </w:tc>
        <w:tc>
          <w:tcPr>
            <w:tcW w:w="1153" w:type="dxa"/>
          </w:tcPr>
          <w:p w:rsidR="00E438B7" w:rsidRPr="009F3015" w:rsidRDefault="00E438B7" w:rsidP="00912410">
            <w:pPr>
              <w:jc w:val="center"/>
            </w:pPr>
            <w:r w:rsidRPr="009F3015">
              <w:t>0.8420</w:t>
            </w:r>
          </w:p>
        </w:tc>
        <w:tc>
          <w:tcPr>
            <w:tcW w:w="1177" w:type="dxa"/>
          </w:tcPr>
          <w:p w:rsidR="00E438B7" w:rsidRPr="009F3015" w:rsidRDefault="00E438B7" w:rsidP="00912410">
            <w:pPr>
              <w:jc w:val="center"/>
            </w:pPr>
          </w:p>
        </w:tc>
      </w:tr>
      <w:tr w:rsidR="00E438B7" w:rsidRPr="00E001A3" w:rsidTr="00CF6796">
        <w:tc>
          <w:tcPr>
            <w:tcW w:w="1951" w:type="dxa"/>
          </w:tcPr>
          <w:p w:rsidR="00E438B7" w:rsidRPr="009F3015" w:rsidRDefault="00E438B7" w:rsidP="00912410">
            <w:pPr>
              <w:jc w:val="center"/>
              <w:rPr>
                <w:b/>
              </w:rPr>
            </w:pPr>
            <w:r w:rsidRPr="009F3015">
              <w:rPr>
                <w:b/>
              </w:rPr>
              <w:t>Disc Job-years</w:t>
            </w:r>
          </w:p>
        </w:tc>
        <w:tc>
          <w:tcPr>
            <w:tcW w:w="1276" w:type="dxa"/>
          </w:tcPr>
          <w:p w:rsidR="00E438B7" w:rsidRPr="009F3015" w:rsidRDefault="00E438B7" w:rsidP="00912410">
            <w:pPr>
              <w:jc w:val="center"/>
            </w:pPr>
            <w:r w:rsidRPr="009F3015">
              <w:t>24.16</w:t>
            </w:r>
          </w:p>
        </w:tc>
        <w:tc>
          <w:tcPr>
            <w:tcW w:w="1276" w:type="dxa"/>
          </w:tcPr>
          <w:p w:rsidR="00E438B7" w:rsidRPr="009F3015" w:rsidRDefault="00E438B7" w:rsidP="00912410">
            <w:pPr>
              <w:jc w:val="center"/>
            </w:pPr>
            <w:r w:rsidRPr="009F3015">
              <w:t>46.68</w:t>
            </w:r>
          </w:p>
        </w:tc>
        <w:tc>
          <w:tcPr>
            <w:tcW w:w="1275" w:type="dxa"/>
          </w:tcPr>
          <w:p w:rsidR="00E438B7" w:rsidRPr="009F3015" w:rsidRDefault="00E438B7" w:rsidP="00912410">
            <w:pPr>
              <w:jc w:val="center"/>
            </w:pPr>
            <w:r w:rsidRPr="009F3015">
              <w:t>90.19</w:t>
            </w:r>
          </w:p>
        </w:tc>
        <w:tc>
          <w:tcPr>
            <w:tcW w:w="1134" w:type="dxa"/>
          </w:tcPr>
          <w:p w:rsidR="00E438B7" w:rsidRPr="009F3015" w:rsidRDefault="00E438B7" w:rsidP="00912410">
            <w:pPr>
              <w:jc w:val="center"/>
            </w:pPr>
            <w:r w:rsidRPr="009F3015">
              <w:t>87.14</w:t>
            </w:r>
          </w:p>
        </w:tc>
        <w:tc>
          <w:tcPr>
            <w:tcW w:w="1153" w:type="dxa"/>
          </w:tcPr>
          <w:p w:rsidR="00E438B7" w:rsidRPr="009F3015" w:rsidRDefault="00E438B7" w:rsidP="00912410">
            <w:pPr>
              <w:jc w:val="center"/>
            </w:pPr>
            <w:r w:rsidRPr="009F3015">
              <w:t>84.20</w:t>
            </w:r>
          </w:p>
        </w:tc>
        <w:tc>
          <w:tcPr>
            <w:tcW w:w="1177" w:type="dxa"/>
          </w:tcPr>
          <w:p w:rsidR="00E438B7" w:rsidRPr="009F3015" w:rsidRDefault="00E438B7" w:rsidP="00912410">
            <w:pPr>
              <w:jc w:val="center"/>
            </w:pPr>
          </w:p>
        </w:tc>
      </w:tr>
      <w:tr w:rsidR="00E438B7" w:rsidRPr="00E001A3" w:rsidTr="00CF6796">
        <w:tc>
          <w:tcPr>
            <w:tcW w:w="1951" w:type="dxa"/>
          </w:tcPr>
          <w:p w:rsidR="00E438B7" w:rsidRPr="009F3015" w:rsidRDefault="00E438B7" w:rsidP="00912410">
            <w:pPr>
              <w:jc w:val="center"/>
              <w:rPr>
                <w:b/>
              </w:rPr>
            </w:pPr>
            <w:r w:rsidRPr="009F3015">
              <w:rPr>
                <w:b/>
              </w:rPr>
              <w:t>Cum job-years</w:t>
            </w:r>
          </w:p>
        </w:tc>
        <w:tc>
          <w:tcPr>
            <w:tcW w:w="1276" w:type="dxa"/>
          </w:tcPr>
          <w:p w:rsidR="00E438B7" w:rsidRPr="009F3015" w:rsidRDefault="00E438B7" w:rsidP="00912410">
            <w:pPr>
              <w:jc w:val="center"/>
            </w:pPr>
            <w:r w:rsidRPr="009F3015">
              <w:t>24.16</w:t>
            </w:r>
          </w:p>
        </w:tc>
        <w:tc>
          <w:tcPr>
            <w:tcW w:w="1276" w:type="dxa"/>
          </w:tcPr>
          <w:p w:rsidR="00E438B7" w:rsidRPr="009F3015" w:rsidRDefault="00E438B7" w:rsidP="00912410">
            <w:pPr>
              <w:jc w:val="center"/>
            </w:pPr>
            <w:r w:rsidRPr="009F3015">
              <w:t>70.84</w:t>
            </w:r>
          </w:p>
        </w:tc>
        <w:tc>
          <w:tcPr>
            <w:tcW w:w="1275" w:type="dxa"/>
          </w:tcPr>
          <w:p w:rsidR="00E438B7" w:rsidRPr="009F3015" w:rsidRDefault="00E438B7" w:rsidP="00912410">
            <w:pPr>
              <w:jc w:val="center"/>
            </w:pPr>
            <w:r w:rsidRPr="009F3015">
              <w:t>161.03</w:t>
            </w:r>
          </w:p>
        </w:tc>
        <w:tc>
          <w:tcPr>
            <w:tcW w:w="1134" w:type="dxa"/>
          </w:tcPr>
          <w:p w:rsidR="00E438B7" w:rsidRPr="009F3015" w:rsidRDefault="00E438B7" w:rsidP="00912410">
            <w:pPr>
              <w:jc w:val="center"/>
            </w:pPr>
            <w:r w:rsidRPr="009F3015">
              <w:t>248.17</w:t>
            </w:r>
          </w:p>
        </w:tc>
        <w:tc>
          <w:tcPr>
            <w:tcW w:w="1153" w:type="dxa"/>
          </w:tcPr>
          <w:p w:rsidR="00E438B7" w:rsidRPr="009F3015" w:rsidRDefault="00E438B7" w:rsidP="00912410">
            <w:pPr>
              <w:jc w:val="center"/>
              <w:rPr>
                <w:b/>
              </w:rPr>
            </w:pPr>
            <w:r w:rsidRPr="009F3015">
              <w:rPr>
                <w:b/>
              </w:rPr>
              <w:t>332.37</w:t>
            </w:r>
          </w:p>
        </w:tc>
        <w:tc>
          <w:tcPr>
            <w:tcW w:w="1177" w:type="dxa"/>
          </w:tcPr>
          <w:p w:rsidR="00E438B7" w:rsidRPr="009F3015" w:rsidRDefault="00E438B7" w:rsidP="00912410">
            <w:pPr>
              <w:jc w:val="center"/>
            </w:pPr>
          </w:p>
        </w:tc>
      </w:tr>
      <w:tr w:rsidR="00E438B7" w:rsidRPr="00E001A3" w:rsidTr="00CF6796">
        <w:tc>
          <w:tcPr>
            <w:tcW w:w="1951" w:type="dxa"/>
          </w:tcPr>
          <w:p w:rsidR="00E438B7" w:rsidRPr="009F3015" w:rsidRDefault="00E438B7" w:rsidP="00912410">
            <w:pPr>
              <w:jc w:val="center"/>
              <w:rPr>
                <w:b/>
              </w:rPr>
            </w:pPr>
            <w:proofErr w:type="spellStart"/>
            <w:r w:rsidRPr="009F3015">
              <w:rPr>
                <w:b/>
              </w:rPr>
              <w:t>Ind</w:t>
            </w:r>
            <w:proofErr w:type="spellEnd"/>
            <w:r w:rsidRPr="009F3015">
              <w:rPr>
                <w:b/>
              </w:rPr>
              <w:t xml:space="preserve"> jobs</w:t>
            </w:r>
          </w:p>
        </w:tc>
        <w:tc>
          <w:tcPr>
            <w:tcW w:w="1276" w:type="dxa"/>
          </w:tcPr>
          <w:p w:rsidR="00E438B7" w:rsidRPr="009F3015" w:rsidRDefault="00E438B7" w:rsidP="00912410">
            <w:pPr>
              <w:jc w:val="center"/>
            </w:pPr>
          </w:p>
        </w:tc>
        <w:tc>
          <w:tcPr>
            <w:tcW w:w="1276" w:type="dxa"/>
          </w:tcPr>
          <w:p w:rsidR="00E438B7" w:rsidRPr="009F3015" w:rsidRDefault="00E438B7" w:rsidP="00912410">
            <w:pPr>
              <w:jc w:val="center"/>
            </w:pPr>
          </w:p>
        </w:tc>
        <w:tc>
          <w:tcPr>
            <w:tcW w:w="1275" w:type="dxa"/>
          </w:tcPr>
          <w:p w:rsidR="00E438B7" w:rsidRPr="009F3015" w:rsidRDefault="00E438B7" w:rsidP="00912410">
            <w:pPr>
              <w:jc w:val="center"/>
            </w:pPr>
          </w:p>
        </w:tc>
        <w:tc>
          <w:tcPr>
            <w:tcW w:w="1134" w:type="dxa"/>
          </w:tcPr>
          <w:p w:rsidR="00E438B7" w:rsidRPr="009F3015" w:rsidRDefault="00E438B7" w:rsidP="00912410">
            <w:pPr>
              <w:jc w:val="center"/>
            </w:pPr>
          </w:p>
        </w:tc>
        <w:tc>
          <w:tcPr>
            <w:tcW w:w="1153" w:type="dxa"/>
          </w:tcPr>
          <w:p w:rsidR="00E438B7" w:rsidRPr="009F3015" w:rsidRDefault="00E438B7" w:rsidP="00912410">
            <w:pPr>
              <w:jc w:val="center"/>
            </w:pPr>
          </w:p>
        </w:tc>
        <w:tc>
          <w:tcPr>
            <w:tcW w:w="1177" w:type="dxa"/>
          </w:tcPr>
          <w:p w:rsidR="00E438B7" w:rsidRPr="009F3015" w:rsidRDefault="00E438B7" w:rsidP="00912410">
            <w:pPr>
              <w:jc w:val="center"/>
            </w:pPr>
            <w:r w:rsidRPr="009F3015">
              <w:t>250</w:t>
            </w:r>
          </w:p>
        </w:tc>
      </w:tr>
      <w:tr w:rsidR="00E438B7" w:rsidRPr="00E001A3" w:rsidTr="00CF6796">
        <w:tc>
          <w:tcPr>
            <w:tcW w:w="1951" w:type="dxa"/>
          </w:tcPr>
          <w:p w:rsidR="00E438B7" w:rsidRPr="009F3015" w:rsidRDefault="00E438B7" w:rsidP="00912410">
            <w:pPr>
              <w:jc w:val="center"/>
              <w:rPr>
                <w:b/>
              </w:rPr>
            </w:pPr>
            <w:r w:rsidRPr="009F3015">
              <w:rPr>
                <w:b/>
              </w:rPr>
              <w:t>Indirect job-</w:t>
            </w:r>
            <w:proofErr w:type="spellStart"/>
            <w:r w:rsidRPr="009F3015">
              <w:rPr>
                <w:b/>
              </w:rPr>
              <w:t>yrs</w:t>
            </w:r>
            <w:proofErr w:type="spellEnd"/>
          </w:p>
        </w:tc>
        <w:tc>
          <w:tcPr>
            <w:tcW w:w="1276" w:type="dxa"/>
          </w:tcPr>
          <w:p w:rsidR="00E438B7" w:rsidRPr="009F3015" w:rsidRDefault="00E438B7" w:rsidP="00912410">
            <w:pPr>
              <w:jc w:val="center"/>
            </w:pPr>
            <w:r w:rsidRPr="009F3015">
              <w:t>16.11</w:t>
            </w:r>
          </w:p>
        </w:tc>
        <w:tc>
          <w:tcPr>
            <w:tcW w:w="1276" w:type="dxa"/>
          </w:tcPr>
          <w:p w:rsidR="00E438B7" w:rsidRPr="009F3015" w:rsidRDefault="00E438B7" w:rsidP="00912410">
            <w:pPr>
              <w:jc w:val="center"/>
            </w:pPr>
            <w:r w:rsidRPr="009F3015">
              <w:t>30.81</w:t>
            </w:r>
          </w:p>
        </w:tc>
        <w:tc>
          <w:tcPr>
            <w:tcW w:w="1275" w:type="dxa"/>
          </w:tcPr>
          <w:p w:rsidR="00E438B7" w:rsidRPr="009F3015" w:rsidRDefault="00E438B7" w:rsidP="00912410">
            <w:pPr>
              <w:jc w:val="center"/>
            </w:pPr>
            <w:r w:rsidRPr="009F3015">
              <w:t>60.13</w:t>
            </w:r>
          </w:p>
        </w:tc>
        <w:tc>
          <w:tcPr>
            <w:tcW w:w="1134" w:type="dxa"/>
          </w:tcPr>
          <w:p w:rsidR="00E438B7" w:rsidRPr="009F3015" w:rsidRDefault="00E438B7" w:rsidP="00912410">
            <w:pPr>
              <w:jc w:val="center"/>
            </w:pPr>
            <w:r w:rsidRPr="009F3015">
              <w:t>58.10</w:t>
            </w:r>
          </w:p>
        </w:tc>
        <w:tc>
          <w:tcPr>
            <w:tcW w:w="1153" w:type="dxa"/>
          </w:tcPr>
          <w:p w:rsidR="00E438B7" w:rsidRPr="009F3015" w:rsidRDefault="00E438B7" w:rsidP="00912410">
            <w:pPr>
              <w:jc w:val="center"/>
            </w:pPr>
            <w:r w:rsidRPr="009F3015">
              <w:t>56.13</w:t>
            </w:r>
          </w:p>
        </w:tc>
        <w:tc>
          <w:tcPr>
            <w:tcW w:w="1177" w:type="dxa"/>
          </w:tcPr>
          <w:p w:rsidR="00E438B7" w:rsidRPr="009F3015" w:rsidRDefault="00E438B7" w:rsidP="00912410">
            <w:pPr>
              <w:jc w:val="center"/>
            </w:pPr>
          </w:p>
        </w:tc>
      </w:tr>
      <w:tr w:rsidR="00E438B7" w:rsidRPr="00E001A3" w:rsidTr="00CF6796">
        <w:tc>
          <w:tcPr>
            <w:tcW w:w="1951" w:type="dxa"/>
          </w:tcPr>
          <w:p w:rsidR="00E438B7" w:rsidRPr="009F3015" w:rsidRDefault="00E438B7" w:rsidP="00912410">
            <w:pPr>
              <w:jc w:val="center"/>
              <w:rPr>
                <w:b/>
              </w:rPr>
            </w:pPr>
            <w:r w:rsidRPr="009F3015">
              <w:rPr>
                <w:b/>
              </w:rPr>
              <w:t xml:space="preserve">Cum </w:t>
            </w:r>
            <w:proofErr w:type="spellStart"/>
            <w:r w:rsidRPr="009F3015">
              <w:rPr>
                <w:b/>
              </w:rPr>
              <w:t>ind</w:t>
            </w:r>
            <w:proofErr w:type="spellEnd"/>
            <w:r w:rsidRPr="009F3015">
              <w:rPr>
                <w:b/>
              </w:rPr>
              <w:t xml:space="preserve"> j-y</w:t>
            </w:r>
          </w:p>
        </w:tc>
        <w:tc>
          <w:tcPr>
            <w:tcW w:w="1276" w:type="dxa"/>
          </w:tcPr>
          <w:p w:rsidR="00E438B7" w:rsidRPr="009F3015" w:rsidRDefault="00E438B7" w:rsidP="00912410">
            <w:pPr>
              <w:jc w:val="center"/>
            </w:pPr>
            <w:r w:rsidRPr="009F3015">
              <w:t>16.11</w:t>
            </w:r>
          </w:p>
        </w:tc>
        <w:tc>
          <w:tcPr>
            <w:tcW w:w="1276" w:type="dxa"/>
          </w:tcPr>
          <w:p w:rsidR="00E438B7" w:rsidRPr="009F3015" w:rsidRDefault="00E438B7" w:rsidP="00912410">
            <w:pPr>
              <w:jc w:val="center"/>
            </w:pPr>
            <w:r w:rsidRPr="009F3015">
              <w:t>46.92</w:t>
            </w:r>
          </w:p>
        </w:tc>
        <w:tc>
          <w:tcPr>
            <w:tcW w:w="1275" w:type="dxa"/>
          </w:tcPr>
          <w:p w:rsidR="00E438B7" w:rsidRPr="009F3015" w:rsidRDefault="00E438B7" w:rsidP="00912410">
            <w:pPr>
              <w:jc w:val="center"/>
            </w:pPr>
            <w:r w:rsidRPr="009F3015">
              <w:t>107.05</w:t>
            </w:r>
          </w:p>
        </w:tc>
        <w:tc>
          <w:tcPr>
            <w:tcW w:w="1134" w:type="dxa"/>
          </w:tcPr>
          <w:p w:rsidR="00E438B7" w:rsidRPr="009F3015" w:rsidRDefault="00E438B7" w:rsidP="00FD0F8E">
            <w:pPr>
              <w:jc w:val="center"/>
            </w:pPr>
            <w:r w:rsidRPr="009F3015">
              <w:t>165.15</w:t>
            </w:r>
          </w:p>
        </w:tc>
        <w:tc>
          <w:tcPr>
            <w:tcW w:w="1153" w:type="dxa"/>
          </w:tcPr>
          <w:p w:rsidR="00E438B7" w:rsidRPr="009F3015" w:rsidRDefault="00E438B7" w:rsidP="00912410">
            <w:pPr>
              <w:jc w:val="center"/>
            </w:pPr>
            <w:r w:rsidRPr="009F3015">
              <w:t>221.28</w:t>
            </w:r>
          </w:p>
        </w:tc>
        <w:tc>
          <w:tcPr>
            <w:tcW w:w="1177" w:type="dxa"/>
          </w:tcPr>
          <w:p w:rsidR="00E438B7" w:rsidRPr="009F3015" w:rsidRDefault="00E438B7" w:rsidP="00912410">
            <w:pPr>
              <w:jc w:val="center"/>
            </w:pPr>
          </w:p>
        </w:tc>
      </w:tr>
    </w:tbl>
    <w:p w:rsidR="00912410" w:rsidRPr="009F3015" w:rsidRDefault="00912410" w:rsidP="00B47254"/>
    <w:p w:rsidR="00912410" w:rsidRPr="009F3015" w:rsidRDefault="00912410" w:rsidP="00B47254">
      <w:r w:rsidRPr="009F3015">
        <w:t>Notes:</w:t>
      </w:r>
    </w:p>
    <w:p w:rsidR="00912410" w:rsidRPr="009F3015" w:rsidRDefault="00912410" w:rsidP="00912410">
      <w:pPr>
        <w:pStyle w:val="ListParagraph"/>
        <w:numPr>
          <w:ilvl w:val="0"/>
          <w:numId w:val="1"/>
        </w:numPr>
      </w:pPr>
      <w:r w:rsidRPr="009F3015">
        <w:t>Job build-up assumed as shown</w:t>
      </w:r>
    </w:p>
    <w:p w:rsidR="00912410" w:rsidRPr="009F3015" w:rsidRDefault="00912410" w:rsidP="00912410">
      <w:pPr>
        <w:pStyle w:val="ListParagraph"/>
        <w:numPr>
          <w:ilvl w:val="0"/>
          <w:numId w:val="1"/>
        </w:numPr>
      </w:pPr>
      <w:r w:rsidRPr="009F3015">
        <w:t>Job persistence assumed to be three years</w:t>
      </w:r>
    </w:p>
    <w:p w:rsidR="00912410" w:rsidRPr="009F3015" w:rsidRDefault="00912410" w:rsidP="00912410"/>
    <w:p w:rsidR="00912410" w:rsidRPr="009F3015" w:rsidRDefault="00912410" w:rsidP="00912410">
      <w:r w:rsidRPr="009F3015">
        <w:t xml:space="preserve">Value </w:t>
      </w:r>
      <w:r w:rsidR="00E438B7" w:rsidRPr="009F3015">
        <w:t xml:space="preserve">of direct jobs is </w:t>
      </w:r>
      <w:r w:rsidRPr="009F3015">
        <w:t>given by discounted job years multiplied by GVA per job in this sector (GLA</w:t>
      </w:r>
      <w:r w:rsidR="00CC2FBC" w:rsidRPr="009F3015">
        <w:t xml:space="preserve"> Economics central value) of £</w:t>
      </w:r>
      <w:r w:rsidRPr="009F3015">
        <w:t>9</w:t>
      </w:r>
      <w:r w:rsidR="00CC2FBC" w:rsidRPr="009F3015">
        <w:t>4,3</w:t>
      </w:r>
      <w:r w:rsidRPr="009F3015">
        <w:t>00</w:t>
      </w:r>
      <w:r w:rsidR="00CC2FBC" w:rsidRPr="009F3015">
        <w:t xml:space="preserve"> in 2014 prices.</w:t>
      </w:r>
    </w:p>
    <w:p w:rsidR="00F61017" w:rsidRPr="009F3015" w:rsidRDefault="00F61017" w:rsidP="00912410"/>
    <w:p w:rsidR="00F61017" w:rsidRPr="009F3015" w:rsidRDefault="00F61017" w:rsidP="00912410">
      <w:r w:rsidRPr="009F3015">
        <w:t>Hence GVA in pr</w:t>
      </w:r>
      <w:r w:rsidR="00CC2FBC" w:rsidRPr="009F3015">
        <w:t>esent value terms is 332.37 x £</w:t>
      </w:r>
      <w:r w:rsidRPr="009F3015">
        <w:t>9</w:t>
      </w:r>
      <w:r w:rsidR="00CC2FBC" w:rsidRPr="009F3015">
        <w:t>4,300 = £31.342</w:t>
      </w:r>
      <w:r w:rsidRPr="009F3015">
        <w:t xml:space="preserve"> million</w:t>
      </w:r>
    </w:p>
    <w:p w:rsidR="00F61017" w:rsidRPr="009F3015" w:rsidRDefault="00F61017" w:rsidP="00912410"/>
    <w:p w:rsidR="00F61017" w:rsidRPr="009F3015" w:rsidRDefault="00F61017" w:rsidP="00912410">
      <w:r w:rsidRPr="009F3015">
        <w:t xml:space="preserve">The other variable here is </w:t>
      </w:r>
      <w:r w:rsidRPr="009F3015">
        <w:rPr>
          <w:b/>
        </w:rPr>
        <w:t>additionality</w:t>
      </w:r>
      <w:r w:rsidRPr="009F3015">
        <w:t>. If this</w:t>
      </w:r>
      <w:r w:rsidR="00E001A3">
        <w:t xml:space="preserve"> is</w:t>
      </w:r>
      <w:r w:rsidRPr="009F3015">
        <w:t xml:space="preserve"> assumed to be 25%, </w:t>
      </w:r>
      <w:r w:rsidR="00CC2FBC" w:rsidRPr="009F3015">
        <w:t xml:space="preserve">then the PV of benefits </w:t>
      </w:r>
      <w:r w:rsidR="00EE0EED">
        <w:t>reduces to</w:t>
      </w:r>
      <w:r w:rsidR="00EE0EED" w:rsidRPr="009F3015">
        <w:t xml:space="preserve"> </w:t>
      </w:r>
      <w:r w:rsidR="00CC2FBC" w:rsidRPr="009F3015">
        <w:t>£7.84</w:t>
      </w:r>
      <w:r w:rsidRPr="009F3015">
        <w:t xml:space="preserve"> million. </w:t>
      </w:r>
      <w:r w:rsidR="00EE0EED">
        <w:t xml:space="preserve">If we take </w:t>
      </w:r>
      <w:proofErr w:type="spellStart"/>
      <w:r w:rsidR="00EE0EED">
        <w:t>MedCity’s</w:t>
      </w:r>
      <w:proofErr w:type="spellEnd"/>
      <w:r w:rsidR="00EE0EED">
        <w:t xml:space="preserve"> costs to </w:t>
      </w:r>
      <w:proofErr w:type="gramStart"/>
      <w:r w:rsidR="00EE0EED">
        <w:t xml:space="preserve">be </w:t>
      </w:r>
      <w:r w:rsidRPr="009F3015">
        <w:t xml:space="preserve"> £</w:t>
      </w:r>
      <w:proofErr w:type="gramEnd"/>
      <w:r w:rsidRPr="009F3015">
        <w:t xml:space="preserve">5.5 million (GLA) plus 25% </w:t>
      </w:r>
      <w:r w:rsidR="00897CD7" w:rsidRPr="009F3015">
        <w:t xml:space="preserve">contribution by </w:t>
      </w:r>
      <w:r w:rsidRPr="009F3015">
        <w:t>partners, that is £6.875 million in total.</w:t>
      </w:r>
      <w:r w:rsidR="00CC2FBC" w:rsidRPr="009F3015">
        <w:t xml:space="preserve"> Note that if the costs are profiled, the PV of costs will be reduced.</w:t>
      </w:r>
      <w:r w:rsidRPr="009F3015">
        <w:t xml:space="preserve"> Th</w:t>
      </w:r>
      <w:r w:rsidR="00CC2FBC" w:rsidRPr="009F3015">
        <w:t>is gives a positive NPV of £0.96</w:t>
      </w:r>
      <w:r w:rsidRPr="009F3015">
        <w:t>5 million, w</w:t>
      </w:r>
      <w:r w:rsidR="00CC2FBC" w:rsidRPr="009F3015">
        <w:t>ith a benefit-cost ratio of 1.14</w:t>
      </w:r>
      <w:r w:rsidRPr="009F3015">
        <w:t>.</w:t>
      </w:r>
    </w:p>
    <w:p w:rsidR="00897CD7" w:rsidRPr="009F3015" w:rsidRDefault="00897CD7" w:rsidP="00912410"/>
    <w:p w:rsidR="00897CD7" w:rsidRPr="009F3015" w:rsidRDefault="00897CD7" w:rsidP="00912410">
      <w:r w:rsidRPr="009F3015">
        <w:lastRenderedPageBreak/>
        <w:t>Some</w:t>
      </w:r>
      <w:r w:rsidR="00EE0EED">
        <w:t xml:space="preserve"> illustrative</w:t>
      </w:r>
      <w:r w:rsidRPr="009F3015">
        <w:t xml:space="preserve"> sensitivity testing</w:t>
      </w:r>
      <w:r w:rsidR="00EE0EED">
        <w:t xml:space="preserve">: - </w:t>
      </w:r>
    </w:p>
    <w:p w:rsidR="00897CD7" w:rsidRPr="009F3015" w:rsidRDefault="00897CD7" w:rsidP="00912410"/>
    <w:p w:rsidR="00897CD7" w:rsidRPr="009F3015" w:rsidRDefault="00897CD7" w:rsidP="00912410">
      <w:pPr>
        <w:rPr>
          <w:b/>
        </w:rPr>
      </w:pPr>
      <w:r w:rsidRPr="009F3015">
        <w:rPr>
          <w:b/>
        </w:rPr>
        <w:t>If account is taken of indirect jobs, the value of benefits becomes £7.84 million x 1.66 = £13.01 million.</w:t>
      </w:r>
    </w:p>
    <w:p w:rsidR="00897CD7" w:rsidRPr="009F3015" w:rsidRDefault="00897CD7" w:rsidP="00912410">
      <w:pPr>
        <w:rPr>
          <w:b/>
        </w:rPr>
      </w:pPr>
      <w:r w:rsidRPr="009F3015">
        <w:rPr>
          <w:b/>
        </w:rPr>
        <w:t>NPV rises to £5.135 million and BCR to 1.89.</w:t>
      </w:r>
    </w:p>
    <w:p w:rsidR="00897CD7" w:rsidRPr="009F3015" w:rsidRDefault="00897CD7" w:rsidP="00912410">
      <w:pPr>
        <w:rPr>
          <w:b/>
        </w:rPr>
      </w:pPr>
      <w:r w:rsidRPr="009F3015">
        <w:rPr>
          <w:b/>
        </w:rPr>
        <w:t>If now, additionality is set at 18% (instead of 25%) PV (B) is £9.367 million; NPV is £2.492 million and BCR is 1.36.</w:t>
      </w:r>
      <w:r w:rsidR="00D52D85" w:rsidRPr="009F3015">
        <w:rPr>
          <w:b/>
        </w:rPr>
        <w:t xml:space="preserve"> </w:t>
      </w:r>
    </w:p>
    <w:p w:rsidR="00653872" w:rsidRPr="009F3015" w:rsidRDefault="00653872" w:rsidP="00912410"/>
    <w:p w:rsidR="00E438B7" w:rsidRPr="009F3015" w:rsidRDefault="00E4321E" w:rsidP="00912410">
      <w:r>
        <w:t>Once the</w:t>
      </w:r>
      <w:r w:rsidR="00DF225C">
        <w:t xml:space="preserve"> additional value from </w:t>
      </w:r>
      <w:proofErr w:type="spellStart"/>
      <w:r w:rsidR="00DF225C">
        <w:t>FDI</w:t>
      </w:r>
      <w:proofErr w:type="spellEnd"/>
      <w:r>
        <w:t>, clinical trials and</w:t>
      </w:r>
      <w:r w:rsidR="00DF225C">
        <w:t xml:space="preserve"> </w:t>
      </w:r>
      <w:r w:rsidR="00653872" w:rsidRPr="009F3015">
        <w:t>spinout</w:t>
      </w:r>
      <w:r w:rsidR="00DF225C">
        <w:t xml:space="preserve">s, and </w:t>
      </w:r>
      <w:r>
        <w:t xml:space="preserve">their </w:t>
      </w:r>
      <w:r w:rsidR="00E438B7" w:rsidRPr="009F3015">
        <w:t>associated jobs and GVA</w:t>
      </w:r>
      <w:r>
        <w:t xml:space="preserve">, </w:t>
      </w:r>
      <w:r w:rsidRPr="00E4321E">
        <w:t>has been verified</w:t>
      </w:r>
      <w:r>
        <w:t xml:space="preserve"> we will be in a position to finalise the targets.</w:t>
      </w:r>
      <w:r w:rsidR="00E438B7" w:rsidRPr="009F3015">
        <w:t xml:space="preserve"> </w:t>
      </w:r>
    </w:p>
    <w:sectPr w:rsidR="00E438B7" w:rsidRPr="009F3015" w:rsidSect="00AF22A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04D" w:rsidRDefault="00CC304D" w:rsidP="00CC304D">
      <w:r>
        <w:separator/>
      </w:r>
    </w:p>
  </w:endnote>
  <w:endnote w:type="continuationSeparator" w:id="0">
    <w:p w:rsidR="00CC304D" w:rsidRDefault="00CC304D" w:rsidP="00CC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Foundry Form Sans">
    <w:panose1 w:val="02000503050000020004"/>
    <w:charset w:val="00"/>
    <w:family w:val="auto"/>
    <w:pitch w:val="variable"/>
    <w:sig w:usb0="800000A7" w:usb1="0000004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04D" w:rsidRDefault="00CC304D" w:rsidP="00CC304D">
      <w:r>
        <w:separator/>
      </w:r>
    </w:p>
  </w:footnote>
  <w:footnote w:type="continuationSeparator" w:id="0">
    <w:p w:rsidR="00CC304D" w:rsidRDefault="00CC304D" w:rsidP="00CC3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04D" w:rsidRPr="00CC304D" w:rsidRDefault="00CC304D" w:rsidP="00CC304D">
    <w:pPr>
      <w:pStyle w:val="Header"/>
      <w:jc w:val="right"/>
      <w:rPr>
        <w:rFonts w:ascii="Arial" w:hAnsi="Arial" w:cs="Arial"/>
        <w:b/>
        <w:sz w:val="28"/>
      </w:rPr>
    </w:pPr>
    <w:r w:rsidRPr="00CC304D">
      <w:rPr>
        <w:rFonts w:ascii="Arial" w:hAnsi="Arial" w:cs="Arial"/>
        <w:b/>
        <w:sz w:val="28"/>
      </w:rPr>
      <w:t>Appendix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3539F"/>
    <w:multiLevelType w:val="hybridMultilevel"/>
    <w:tmpl w:val="02889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54"/>
    <w:rsid w:val="000136B9"/>
    <w:rsid w:val="002E66FC"/>
    <w:rsid w:val="0035694F"/>
    <w:rsid w:val="0052775F"/>
    <w:rsid w:val="00653872"/>
    <w:rsid w:val="00706E7C"/>
    <w:rsid w:val="007F5202"/>
    <w:rsid w:val="00897CD7"/>
    <w:rsid w:val="00912410"/>
    <w:rsid w:val="009A5426"/>
    <w:rsid w:val="009F3015"/>
    <w:rsid w:val="00AD4975"/>
    <w:rsid w:val="00AF22A0"/>
    <w:rsid w:val="00B47254"/>
    <w:rsid w:val="00CC2FBC"/>
    <w:rsid w:val="00CC304D"/>
    <w:rsid w:val="00CF6796"/>
    <w:rsid w:val="00D43831"/>
    <w:rsid w:val="00D52D85"/>
    <w:rsid w:val="00D64A64"/>
    <w:rsid w:val="00DF06D9"/>
    <w:rsid w:val="00DF225C"/>
    <w:rsid w:val="00E001A3"/>
    <w:rsid w:val="00E22C99"/>
    <w:rsid w:val="00E4321E"/>
    <w:rsid w:val="00E438B7"/>
    <w:rsid w:val="00EE0EED"/>
    <w:rsid w:val="00EF64FC"/>
    <w:rsid w:val="00F45187"/>
    <w:rsid w:val="00F61017"/>
    <w:rsid w:val="00FD0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775F"/>
    <w:rPr>
      <w:rFonts w:ascii="Foundry Form Sans" w:hAnsi="Foundry Form Sans"/>
      <w:sz w:val="24"/>
      <w:szCs w:val="24"/>
      <w:lang w:eastAsia="en-US"/>
    </w:rPr>
  </w:style>
  <w:style w:type="paragraph" w:styleId="Heading1">
    <w:name w:val="heading 1"/>
    <w:basedOn w:val="Normal"/>
    <w:next w:val="Normal"/>
    <w:qFormat/>
    <w:rsid w:val="00D438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775F"/>
    <w:pPr>
      <w:spacing w:before="100" w:beforeAutospacing="1" w:after="100" w:afterAutospacing="1"/>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2Char">
    <w:name w:val="Heading 2 Char"/>
    <w:basedOn w:val="DefaultParagraphFont"/>
    <w:link w:val="Heading2"/>
    <w:uiPriority w:val="9"/>
    <w:rsid w:val="0052775F"/>
    <w:rPr>
      <w:b/>
      <w:bCs/>
      <w:sz w:val="36"/>
      <w:szCs w:val="36"/>
    </w:rPr>
  </w:style>
  <w:style w:type="paragraph" w:styleId="ListParagraph">
    <w:name w:val="List Paragraph"/>
    <w:basedOn w:val="Normal"/>
    <w:uiPriority w:val="34"/>
    <w:qFormat/>
    <w:rsid w:val="0052775F"/>
    <w:pPr>
      <w:ind w:left="720"/>
      <w:contextualSpacing/>
    </w:pPr>
  </w:style>
  <w:style w:type="table" w:styleId="TableGrid">
    <w:name w:val="Table Grid"/>
    <w:basedOn w:val="TableNormal"/>
    <w:rsid w:val="00912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C304D"/>
    <w:pPr>
      <w:tabs>
        <w:tab w:val="center" w:pos="4513"/>
        <w:tab w:val="right" w:pos="9026"/>
      </w:tabs>
    </w:pPr>
  </w:style>
  <w:style w:type="character" w:customStyle="1" w:styleId="HeaderChar">
    <w:name w:val="Header Char"/>
    <w:basedOn w:val="DefaultParagraphFont"/>
    <w:link w:val="Header"/>
    <w:rsid w:val="00CC304D"/>
    <w:rPr>
      <w:rFonts w:ascii="Foundry Form Sans" w:hAnsi="Foundry Form Sans"/>
      <w:sz w:val="24"/>
      <w:szCs w:val="24"/>
      <w:lang w:eastAsia="en-US"/>
    </w:rPr>
  </w:style>
  <w:style w:type="paragraph" w:styleId="Footer">
    <w:name w:val="footer"/>
    <w:basedOn w:val="Normal"/>
    <w:link w:val="FooterChar"/>
    <w:rsid w:val="00CC304D"/>
    <w:pPr>
      <w:tabs>
        <w:tab w:val="center" w:pos="4513"/>
        <w:tab w:val="right" w:pos="9026"/>
      </w:tabs>
    </w:pPr>
  </w:style>
  <w:style w:type="character" w:customStyle="1" w:styleId="FooterChar">
    <w:name w:val="Footer Char"/>
    <w:basedOn w:val="DefaultParagraphFont"/>
    <w:link w:val="Footer"/>
    <w:rsid w:val="00CC304D"/>
    <w:rPr>
      <w:rFonts w:ascii="Foundry Form Sans" w:hAnsi="Foundry Form San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775F"/>
    <w:rPr>
      <w:rFonts w:ascii="Foundry Form Sans" w:hAnsi="Foundry Form Sans"/>
      <w:sz w:val="24"/>
      <w:szCs w:val="24"/>
      <w:lang w:eastAsia="en-US"/>
    </w:rPr>
  </w:style>
  <w:style w:type="paragraph" w:styleId="Heading1">
    <w:name w:val="heading 1"/>
    <w:basedOn w:val="Normal"/>
    <w:next w:val="Normal"/>
    <w:qFormat/>
    <w:rsid w:val="00D438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775F"/>
    <w:pPr>
      <w:spacing w:before="100" w:beforeAutospacing="1" w:after="100" w:afterAutospacing="1"/>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2Char">
    <w:name w:val="Heading 2 Char"/>
    <w:basedOn w:val="DefaultParagraphFont"/>
    <w:link w:val="Heading2"/>
    <w:uiPriority w:val="9"/>
    <w:rsid w:val="0052775F"/>
    <w:rPr>
      <w:b/>
      <w:bCs/>
      <w:sz w:val="36"/>
      <w:szCs w:val="36"/>
    </w:rPr>
  </w:style>
  <w:style w:type="paragraph" w:styleId="ListParagraph">
    <w:name w:val="List Paragraph"/>
    <w:basedOn w:val="Normal"/>
    <w:uiPriority w:val="34"/>
    <w:qFormat/>
    <w:rsid w:val="0052775F"/>
    <w:pPr>
      <w:ind w:left="720"/>
      <w:contextualSpacing/>
    </w:pPr>
  </w:style>
  <w:style w:type="table" w:styleId="TableGrid">
    <w:name w:val="Table Grid"/>
    <w:basedOn w:val="TableNormal"/>
    <w:rsid w:val="00912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C304D"/>
    <w:pPr>
      <w:tabs>
        <w:tab w:val="center" w:pos="4513"/>
        <w:tab w:val="right" w:pos="9026"/>
      </w:tabs>
    </w:pPr>
  </w:style>
  <w:style w:type="character" w:customStyle="1" w:styleId="HeaderChar">
    <w:name w:val="Header Char"/>
    <w:basedOn w:val="DefaultParagraphFont"/>
    <w:link w:val="Header"/>
    <w:rsid w:val="00CC304D"/>
    <w:rPr>
      <w:rFonts w:ascii="Foundry Form Sans" w:hAnsi="Foundry Form Sans"/>
      <w:sz w:val="24"/>
      <w:szCs w:val="24"/>
      <w:lang w:eastAsia="en-US"/>
    </w:rPr>
  </w:style>
  <w:style w:type="paragraph" w:styleId="Footer">
    <w:name w:val="footer"/>
    <w:basedOn w:val="Normal"/>
    <w:link w:val="FooterChar"/>
    <w:rsid w:val="00CC304D"/>
    <w:pPr>
      <w:tabs>
        <w:tab w:val="center" w:pos="4513"/>
        <w:tab w:val="right" w:pos="9026"/>
      </w:tabs>
    </w:pPr>
  </w:style>
  <w:style w:type="character" w:customStyle="1" w:styleId="FooterChar">
    <w:name w:val="Footer Char"/>
    <w:basedOn w:val="DefaultParagraphFont"/>
    <w:link w:val="Footer"/>
    <w:rsid w:val="00CC304D"/>
    <w:rPr>
      <w:rFonts w:ascii="Foundry Form Sans" w:hAnsi="Foundry Form San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6C7A1-72D8-4A0F-9238-F9705140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Daffern</dc:creator>
  <cp:lastModifiedBy>Eleanor Lloyd</cp:lastModifiedBy>
  <cp:revision>6</cp:revision>
  <cp:lastPrinted>2014-09-23T12:56:00Z</cp:lastPrinted>
  <dcterms:created xsi:type="dcterms:W3CDTF">2014-09-24T09:48:00Z</dcterms:created>
  <dcterms:modified xsi:type="dcterms:W3CDTF">2014-09-24T17:32:00Z</dcterms:modified>
</cp:coreProperties>
</file>

<file path=docProps/custom.xml><?xml version="1.0" encoding="utf-8"?>
<op:Properties xmlns:op="http://schemas.openxmlformats.org/officeDocument/2006/custom-properties"/>
</file>